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A7" w:rsidRPr="00EA7E02" w:rsidRDefault="006C15A7" w:rsidP="006C15A7">
      <w:pPr>
        <w:pStyle w:val="Nzov"/>
        <w:ind w:left="0"/>
        <w:rPr>
          <w:rFonts w:ascii="Calibri" w:hAnsi="Calibri"/>
          <w:sz w:val="32"/>
          <w:szCs w:val="32"/>
        </w:rPr>
      </w:pPr>
      <w:r w:rsidRPr="00EA7E02">
        <w:rPr>
          <w:rFonts w:ascii="Calibri" w:hAnsi="Calibri"/>
          <w:sz w:val="32"/>
          <w:szCs w:val="32"/>
        </w:rPr>
        <w:t>Návod na použitie, záručné vyhlásenie a servis</w:t>
      </w:r>
    </w:p>
    <w:p w:rsidR="006C15A7" w:rsidRPr="00EA7E02" w:rsidRDefault="00CE164B" w:rsidP="006C15A7">
      <w:pPr>
        <w:pStyle w:val="Nadpis6"/>
        <w:tabs>
          <w:tab w:val="left" w:pos="567"/>
        </w:tabs>
        <w:ind w:left="0" w:firstLine="14"/>
        <w:jc w:val="center"/>
        <w:rPr>
          <w:sz w:val="32"/>
          <w:szCs w:val="32"/>
          <w:lang w:val="sk-SK"/>
        </w:rPr>
      </w:pPr>
      <w:proofErr w:type="spellStart"/>
      <w:r w:rsidRPr="00EA7E02">
        <w:rPr>
          <w:sz w:val="32"/>
          <w:szCs w:val="32"/>
          <w:lang w:val="sk-SK"/>
        </w:rPr>
        <w:t>Heller</w:t>
      </w:r>
      <w:proofErr w:type="spellEnd"/>
      <w:r w:rsidRPr="00EA7E02">
        <w:rPr>
          <w:sz w:val="32"/>
          <w:szCs w:val="32"/>
          <w:lang w:val="sk-SK"/>
        </w:rPr>
        <w:t xml:space="preserve"> model IKF-E 18 S, IKF-D 31 S</w:t>
      </w:r>
      <w:r w:rsidR="005D3086" w:rsidRPr="00EA7E02">
        <w:rPr>
          <w:sz w:val="32"/>
          <w:szCs w:val="32"/>
          <w:lang w:val="sk-SK"/>
        </w:rPr>
        <w:t xml:space="preserve"> </w:t>
      </w:r>
      <w:r w:rsidR="00B11E06">
        <w:rPr>
          <w:rFonts w:ascii="MyriadPro-Bold" w:hAnsi="MyriadPro-Bold" w:cs="MyriadPro-Bold"/>
          <w:b w:val="0"/>
          <w:sz w:val="32"/>
          <w:szCs w:val="32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30.85pt;height:21.05pt;visibility:visible">
            <v:imagedata r:id="rId8" o:title=""/>
          </v:shape>
        </w:pict>
      </w:r>
    </w:p>
    <w:p w:rsidR="006C15A7" w:rsidRPr="00EA7E02" w:rsidRDefault="006C15A7" w:rsidP="00C25326">
      <w:pPr>
        <w:pBdr>
          <w:bottom w:val="single" w:sz="4" w:space="0" w:color="auto"/>
        </w:pBdr>
        <w:tabs>
          <w:tab w:val="left" w:pos="567"/>
        </w:tabs>
        <w:spacing w:after="0"/>
        <w:rPr>
          <w:sz w:val="16"/>
        </w:rPr>
      </w:pPr>
      <w:r w:rsidRPr="00EA7E02">
        <w:rPr>
          <w:sz w:val="16"/>
        </w:rPr>
        <w:t xml:space="preserve">  </w:t>
      </w:r>
    </w:p>
    <w:p w:rsidR="006C15A7" w:rsidRPr="00EA7E02" w:rsidRDefault="006C15A7" w:rsidP="003D5B94">
      <w:pPr>
        <w:autoSpaceDE w:val="0"/>
        <w:autoSpaceDN w:val="0"/>
        <w:adjustRightInd w:val="0"/>
        <w:spacing w:after="120"/>
        <w:jc w:val="both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Vážený zákazník,</w:t>
      </w:r>
    </w:p>
    <w:p w:rsidR="006C15A7" w:rsidRPr="00EA7E02" w:rsidRDefault="006C15A7" w:rsidP="00C25326">
      <w:pPr>
        <w:autoSpaceDE w:val="0"/>
        <w:autoSpaceDN w:val="0"/>
        <w:adjustRightInd w:val="0"/>
        <w:spacing w:after="0"/>
        <w:jc w:val="both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aby Vám Váš elektrospotrebič slúžil čo najlepšie, pozorne si pred jeho prvým uvedením do prevádzky prečítajte celý návod na použitie. Tento elektrospotrebič bol riadne preskúšaný. Predávajúci vám poskytuje záručnú dobu v trvaní </w:t>
      </w:r>
      <w:r w:rsidRPr="00EA7E02">
        <w:rPr>
          <w:rFonts w:ascii="MyriadPro-Black" w:hAnsi="MyriadPro-Black" w:cs="MyriadPro-Black"/>
          <w:sz w:val="16"/>
          <w:szCs w:val="16"/>
          <w:lang w:eastAsia="sk-SK"/>
        </w:rPr>
        <w:t xml:space="preserve">2rokov 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od dátumu jeho zakúpenia. V tejto dobe odstránime bezplatne všetky závady a nedostatky, ktoré podstatne</w:t>
      </w:r>
      <w:r w:rsidR="00A70E46"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 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obmedzujú jeho funkciu a k</w:t>
      </w:r>
      <w:r w:rsidR="00A70E46" w:rsidRPr="00EA7E02">
        <w:rPr>
          <w:rFonts w:ascii="MyriadPro-Regular" w:hAnsi="MyriadPro-Regular" w:cs="MyriadPro-Regular"/>
          <w:sz w:val="16"/>
          <w:szCs w:val="16"/>
          <w:lang w:eastAsia="sk-SK"/>
        </w:rPr>
        <w:t>toré preukázateľne vznikli vadou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 materiálu alebo nedostatkom pri výrobe. Závady odstránime podľa nášho uváženia opravou alebo výmenou </w:t>
      </w:r>
      <w:r w:rsidR="005D3086" w:rsidRPr="00EA7E02">
        <w:rPr>
          <w:rFonts w:ascii="MyriadPro-Regular" w:hAnsi="MyriadPro-Regular" w:cs="MyriadPro-Regular"/>
          <w:sz w:val="16"/>
          <w:szCs w:val="16"/>
          <w:lang w:eastAsia="sk-SK"/>
        </w:rPr>
        <w:t>zá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vadnej časti prístroja. Záruka sa nevzťahuje na závady spôsobené nedodržaním návodu na použitie, nesprávnym zapojením, neprimeraným zaobchádzaním, normálnym opotrebovaním a na nedostatky, ktoré sú pre vlastnú funkciu prístroja nepodstatné a vznikli napríklad na krehkých dieloch elektrospotrebiča, napr. ľahko rozbitné diely zo skla, umelých hmôt a žiarovky. Záruka stráca platnosť zásahom do prístroja inou osobou, ako osobou nami poverenou servisom.. Ak sa vyskytne na Vašom prístroji závada, zašlite alebo odovzdajte elektrospotrebič v </w:t>
      </w:r>
      <w:r w:rsidRPr="00EA7E02">
        <w:rPr>
          <w:rFonts w:ascii="MyriadPro-Black" w:hAnsi="MyriadPro-Black" w:cs="MyriadPro-Black"/>
          <w:sz w:val="16"/>
          <w:szCs w:val="16"/>
          <w:lang w:eastAsia="sk-SK"/>
        </w:rPr>
        <w:t xml:space="preserve">balení s kompletným príslušenstvom s uvedením Vašej adresy a tel. čísla 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a popisom závady na adresu servisu.</w:t>
      </w:r>
    </w:p>
    <w:p w:rsidR="006C15A7" w:rsidRPr="00EA7E02" w:rsidRDefault="006C15A7" w:rsidP="00C25326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Návod na použitie, záručné vyhlásenie a servis</w:t>
      </w:r>
    </w:p>
    <w:p w:rsidR="006C15A7" w:rsidRPr="00EA7E02" w:rsidRDefault="006C15A7" w:rsidP="006C1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  <w:r w:rsidRPr="00EA7E02">
        <w:rPr>
          <w:rFonts w:ascii="MyriadPro-Bold" w:hAnsi="MyriadPro-Bold" w:cs="MyriadPro-Bold"/>
          <w:b/>
          <w:bCs/>
          <w:sz w:val="16"/>
          <w:szCs w:val="16"/>
          <w:lang w:eastAsia="sk-SK"/>
        </w:rPr>
        <w:t>Oprava v záručnej dobe Vám bude vykonaná bezplatne iba vtedy, ak priložíte k spotrebiču doklad o zakúpení prístroja (pokladničný blok, faktúra) a to záručné vyhlásenie, kde sú servisné poznámky.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Nárok na záruku zaniká, ak je porucha spôsobená: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- mechanickým poškodením (vrátane poškodenia v priebehu prepravy),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- nešetrným a nesprávnym používaním v nesúlade s návodom,</w:t>
      </w:r>
      <w:r w:rsidR="00A70E46"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 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nepozornosťou, znečistením a zanedbanou údržbou,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- vonkajšou udalosťou (prepätie v sieti, živelná pohroma a pod.),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- pripojením výrobku na iné sieťové napätie, aké je preň určené,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- pri nepredložení originálneho dokladu o zakúpení.</w:t>
      </w:r>
    </w:p>
    <w:p w:rsidR="006C15A7" w:rsidRPr="00EA7E02" w:rsidRDefault="006C15A7" w:rsidP="006C15A7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Nárok zaniká takisto v prípade, keď ktokoľvek vykonal modifikácie alebo adaptácie na rozšírenie funkcií výrobku oproti zakúpenému vyhotoveniu alebo kvôli možnosti jeho prevádzkovania v inej krajine, ako pre ktorú bol navrhnutý. Nárok nebude uznaný na časti, podliehajúce bežnému opotrebeniu, ktoré je v priebehu prevádzky nutné meniť kvôli správnej funkcii výrobku (napr. filtre, </w:t>
      </w:r>
      <w:r w:rsidR="00A70E46" w:rsidRPr="00EA7E02">
        <w:rPr>
          <w:rFonts w:ascii="MyriadPro-Regular" w:hAnsi="MyriadPro-Regular" w:cs="MyriadPro-Regular"/>
          <w:sz w:val="16"/>
          <w:szCs w:val="16"/>
          <w:lang w:eastAsia="sk-SK"/>
        </w:rPr>
        <w:t>vrecká</w:t>
      </w:r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, gumové tesnenia, </w:t>
      </w:r>
      <w:proofErr w:type="spellStart"/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>odvápňovacie</w:t>
      </w:r>
      <w:proofErr w:type="spellEnd"/>
      <w:r w:rsidRPr="00EA7E02">
        <w:rPr>
          <w:rFonts w:ascii="MyriadPro-Regular" w:hAnsi="MyriadPro-Regular" w:cs="MyriadPro-Regular"/>
          <w:sz w:val="16"/>
          <w:szCs w:val="16"/>
          <w:lang w:eastAsia="sk-SK"/>
        </w:rPr>
        <w:t xml:space="preserve"> tyčinky, batérie, žiarovky, obaly a pod.)</w:t>
      </w:r>
    </w:p>
    <w:p w:rsidR="006C15A7" w:rsidRPr="00EA7E02" w:rsidRDefault="006C15A7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  <w:r w:rsidRPr="00EA7E02">
        <w:rPr>
          <w:rFonts w:ascii="MyriadPro-Bold" w:hAnsi="MyriadPro-Bold" w:cs="MyriadPro-Bold"/>
          <w:b/>
          <w:bCs/>
          <w:sz w:val="16"/>
          <w:szCs w:val="16"/>
          <w:lang w:eastAsia="sk-SK"/>
        </w:rPr>
        <w:t>Servisné záznamy:</w:t>
      </w:r>
    </w:p>
    <w:p w:rsidR="00C25326" w:rsidRPr="00EA7E02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C25326" w:rsidRPr="00EA7E02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  <w:bookmarkStart w:id="0" w:name="_GoBack"/>
      <w:bookmarkEnd w:id="0"/>
    </w:p>
    <w:p w:rsidR="00C25326" w:rsidRPr="00EA7E02" w:rsidRDefault="00C25326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2B03B1" w:rsidRPr="00EA7E02" w:rsidRDefault="002B03B1" w:rsidP="003D5B94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16"/>
          <w:szCs w:val="16"/>
          <w:lang w:eastAsia="sk-SK"/>
        </w:rPr>
      </w:pPr>
    </w:p>
    <w:p w:rsidR="00C25326" w:rsidRPr="00EA7E02" w:rsidRDefault="00C25326" w:rsidP="003D5B94">
      <w:pPr>
        <w:autoSpaceDE w:val="0"/>
        <w:autoSpaceDN w:val="0"/>
        <w:adjustRightInd w:val="0"/>
        <w:spacing w:after="0"/>
        <w:rPr>
          <w:rFonts w:ascii="MyriadPro-Regular" w:hAnsi="MyriadPro-Regular" w:cs="MyriadPro-Regular"/>
          <w:sz w:val="16"/>
          <w:szCs w:val="16"/>
          <w:lang w:eastAsia="sk-SK"/>
        </w:rPr>
      </w:pPr>
    </w:p>
    <w:p w:rsidR="006C15A7" w:rsidRPr="00EA7E02" w:rsidRDefault="006C15A7" w:rsidP="006C15A7">
      <w:pPr>
        <w:tabs>
          <w:tab w:val="left" w:pos="567"/>
        </w:tabs>
        <w:spacing w:after="0"/>
        <w:jc w:val="both"/>
        <w:rPr>
          <w:b/>
          <w:sz w:val="16"/>
          <w:szCs w:val="16"/>
        </w:rPr>
      </w:pPr>
    </w:p>
    <w:p w:rsidR="006C15A7" w:rsidRPr="00EA7E02" w:rsidRDefault="006C15A7" w:rsidP="006C15A7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</w:p>
    <w:p w:rsidR="006C15A7" w:rsidRPr="00EA7E02" w:rsidRDefault="00A7143A" w:rsidP="006C15A7">
      <w:pPr>
        <w:tabs>
          <w:tab w:val="left" w:pos="567"/>
        </w:tabs>
        <w:spacing w:after="0"/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pict>
          <v:shape id="Obrázok 4" o:spid="_x0000_s1026" type="#_x0000_t75" style="position:absolute;left:0;text-align:left;margin-left:142.5pt;margin-top:.7pt;width:57.1pt;height:20.95pt;z-index:1;visibility:visible" o:allowincell="f">
            <v:imagedata r:id="rId9" o:title=""/>
          </v:shape>
        </w:pict>
      </w:r>
    </w:p>
    <w:p w:rsidR="006C15A7" w:rsidRPr="00EA7E02" w:rsidRDefault="006C15A7" w:rsidP="006C15A7">
      <w:pPr>
        <w:tabs>
          <w:tab w:val="left" w:pos="567"/>
        </w:tabs>
        <w:spacing w:after="0"/>
        <w:jc w:val="both"/>
        <w:rPr>
          <w:sz w:val="20"/>
          <w:szCs w:val="20"/>
        </w:rPr>
      </w:pPr>
      <w:r w:rsidRPr="00EA7E02">
        <w:rPr>
          <w:b/>
          <w:sz w:val="20"/>
          <w:szCs w:val="20"/>
        </w:rPr>
        <w:t>Dodávateľ výrobku pre Slovensko                         , spol. s r. o.</w:t>
      </w:r>
    </w:p>
    <w:p w:rsidR="006C15A7" w:rsidRPr="00EA7E02" w:rsidRDefault="006C15A7" w:rsidP="006C15A7">
      <w:pPr>
        <w:tabs>
          <w:tab w:val="left" w:pos="567"/>
        </w:tabs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EA7E02">
        <w:rPr>
          <w:rFonts w:ascii="Arial Narrow" w:hAnsi="Arial Narrow"/>
          <w:b/>
          <w:sz w:val="20"/>
          <w:szCs w:val="20"/>
        </w:rPr>
        <w:t xml:space="preserve">Centrum 1746/265, 017 01 </w:t>
      </w:r>
      <w:proofErr w:type="spellStart"/>
      <w:r w:rsidRPr="00EA7E02">
        <w:rPr>
          <w:rFonts w:ascii="Arial Narrow" w:hAnsi="Arial Narrow"/>
          <w:b/>
          <w:sz w:val="20"/>
          <w:szCs w:val="20"/>
        </w:rPr>
        <w:t>Pov</w:t>
      </w:r>
      <w:proofErr w:type="spellEnd"/>
      <w:r w:rsidRPr="00EA7E02">
        <w:rPr>
          <w:rFonts w:ascii="Arial Narrow" w:hAnsi="Arial Narrow"/>
          <w:b/>
          <w:sz w:val="20"/>
          <w:szCs w:val="20"/>
        </w:rPr>
        <w:t>.</w:t>
      </w:r>
      <w:r w:rsidR="00A70E46" w:rsidRPr="00EA7E02">
        <w:rPr>
          <w:rFonts w:ascii="Arial Narrow" w:hAnsi="Arial Narrow"/>
          <w:b/>
          <w:sz w:val="20"/>
          <w:szCs w:val="20"/>
        </w:rPr>
        <w:t xml:space="preserve"> </w:t>
      </w:r>
      <w:r w:rsidRPr="00EA7E02">
        <w:rPr>
          <w:rFonts w:ascii="Arial Narrow" w:hAnsi="Arial Narrow"/>
          <w:b/>
          <w:sz w:val="20"/>
          <w:szCs w:val="20"/>
        </w:rPr>
        <w:t xml:space="preserve">Bystrica, </w:t>
      </w:r>
      <w:r w:rsidR="00C25326" w:rsidRPr="00EA7E02">
        <w:rPr>
          <w:rFonts w:ascii="Arial Narrow" w:hAnsi="Arial Narrow"/>
          <w:b/>
          <w:sz w:val="20"/>
          <w:szCs w:val="20"/>
        </w:rPr>
        <w:t xml:space="preserve"> </w:t>
      </w:r>
      <w:r w:rsidR="004A4718" w:rsidRPr="00EA7E02">
        <w:rPr>
          <w:rFonts w:ascii="Arial Narrow" w:hAnsi="Arial Narrow"/>
          <w:b/>
          <w:sz w:val="20"/>
          <w:szCs w:val="20"/>
        </w:rPr>
        <w:t>tel.:042/4330791, 0918341576</w:t>
      </w:r>
      <w:r w:rsidRPr="00EA7E02">
        <w:rPr>
          <w:rFonts w:ascii="Arial Narrow" w:hAnsi="Arial Narrow"/>
          <w:b/>
          <w:sz w:val="20"/>
          <w:szCs w:val="20"/>
        </w:rPr>
        <w:t>, fax:042/4260610</w:t>
      </w:r>
    </w:p>
    <w:p w:rsidR="006C15A7" w:rsidRPr="00EA7E02" w:rsidRDefault="006C15A7" w:rsidP="005D3086">
      <w:pPr>
        <w:pBdr>
          <w:bottom w:val="single" w:sz="4" w:space="1" w:color="auto"/>
        </w:pBdr>
        <w:tabs>
          <w:tab w:val="left" w:pos="567"/>
        </w:tabs>
        <w:spacing w:after="0"/>
        <w:rPr>
          <w:sz w:val="16"/>
          <w:szCs w:val="16"/>
        </w:rPr>
      </w:pPr>
    </w:p>
    <w:p w:rsidR="006C15A7" w:rsidRPr="00EA7E02" w:rsidRDefault="006C15A7" w:rsidP="003D5B94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EA7E02">
        <w:rPr>
          <w:sz w:val="16"/>
          <w:szCs w:val="16"/>
        </w:rPr>
        <w:t xml:space="preserve">           </w:t>
      </w:r>
      <w:r w:rsidRPr="00EA7E02">
        <w:rPr>
          <w:rFonts w:ascii="Arial Narrow" w:hAnsi="Arial Narrow"/>
          <w:sz w:val="16"/>
          <w:szCs w:val="16"/>
        </w:rPr>
        <w:t>Organizácia poverená servisom výrobkov:</w:t>
      </w:r>
    </w:p>
    <w:p w:rsidR="006C15A7" w:rsidRPr="00EA7E02" w:rsidRDefault="006C15A7" w:rsidP="003D5B94">
      <w:pPr>
        <w:spacing w:after="0"/>
        <w:jc w:val="center"/>
        <w:rPr>
          <w:rFonts w:ascii="Arial Narrow" w:hAnsi="Arial Narrow"/>
          <w:sz w:val="16"/>
          <w:szCs w:val="16"/>
        </w:rPr>
      </w:pPr>
      <w:proofErr w:type="spellStart"/>
      <w:r w:rsidRPr="00EA7E02">
        <w:rPr>
          <w:rFonts w:ascii="Arial Narrow" w:hAnsi="Arial Narrow"/>
          <w:sz w:val="16"/>
          <w:szCs w:val="16"/>
        </w:rPr>
        <w:t>Brel</w:t>
      </w:r>
      <w:proofErr w:type="spellEnd"/>
      <w:r w:rsidRPr="00EA7E02">
        <w:rPr>
          <w:rFonts w:ascii="Arial Narrow" w:hAnsi="Arial Narrow"/>
          <w:sz w:val="16"/>
          <w:szCs w:val="16"/>
        </w:rPr>
        <w:t>, spol. s </w:t>
      </w:r>
      <w:proofErr w:type="spellStart"/>
      <w:r w:rsidRPr="00EA7E02">
        <w:rPr>
          <w:rFonts w:ascii="Arial Narrow" w:hAnsi="Arial Narrow"/>
          <w:sz w:val="16"/>
          <w:szCs w:val="16"/>
        </w:rPr>
        <w:t>r.o</w:t>
      </w:r>
      <w:proofErr w:type="spellEnd"/>
      <w:r w:rsidRPr="00EA7E02">
        <w:rPr>
          <w:rFonts w:ascii="Arial Narrow" w:hAnsi="Arial Narrow"/>
          <w:sz w:val="16"/>
          <w:szCs w:val="16"/>
        </w:rPr>
        <w:t>., Centrum 1746/265, 017 01  Považská Bystrica</w:t>
      </w:r>
    </w:p>
    <w:p w:rsidR="006C15A7" w:rsidRPr="00EA7E02" w:rsidRDefault="006C15A7" w:rsidP="00E66609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EA7E02">
        <w:rPr>
          <w:rFonts w:ascii="Arial Narrow" w:hAnsi="Arial Narrow"/>
          <w:sz w:val="16"/>
          <w:szCs w:val="16"/>
        </w:rPr>
        <w:t xml:space="preserve">Tel.: 042/4330791, mobil: 0918341576, </w:t>
      </w:r>
      <w:hyperlink r:id="rId10" w:history="1">
        <w:r w:rsidRPr="00EA7E02">
          <w:rPr>
            <w:rStyle w:val="Hypertextovprepojenie"/>
            <w:rFonts w:ascii="Arial Narrow" w:hAnsi="Arial Narrow"/>
            <w:sz w:val="16"/>
            <w:szCs w:val="16"/>
          </w:rPr>
          <w:t>servis@brel.sk</w:t>
        </w:r>
      </w:hyperlink>
      <w:r w:rsidRPr="00EA7E02">
        <w:rPr>
          <w:rFonts w:ascii="Arial Narrow" w:hAnsi="Arial Narrow"/>
          <w:sz w:val="16"/>
          <w:szCs w:val="16"/>
        </w:rPr>
        <w:t xml:space="preserve">, </w:t>
      </w:r>
      <w:hyperlink r:id="rId11" w:history="1">
        <w:r w:rsidR="00E66609" w:rsidRPr="00EA7E02">
          <w:rPr>
            <w:rStyle w:val="Hypertextovprepojenie"/>
            <w:rFonts w:ascii="Arial Narrow" w:hAnsi="Arial Narrow"/>
            <w:sz w:val="16"/>
            <w:szCs w:val="16"/>
          </w:rPr>
          <w:t>www.brel.sk</w:t>
        </w:r>
      </w:hyperlink>
    </w:p>
    <w:p w:rsidR="00CE164B" w:rsidRPr="00EA7E02" w:rsidRDefault="00A7143A" w:rsidP="005A17E7">
      <w:pPr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lastRenderedPageBreak/>
        <w:pict>
          <v:shape id="Bild 2" o:spid="_x0000_s1028" type="#_x0000_t75" alt="Heller" style="position:absolute;left:0;text-align:left;margin-left:58.2pt;margin-top:9.65pt;width:226.7pt;height:54.7pt;z-index:-4;visibility:visible" wrapcoords="-63 0 -63 21340 21600 21340 21600 0 -63 0">
            <v:imagedata r:id="rId12" o:title=""/>
            <w10:wrap type="tight"/>
          </v:shape>
        </w:pict>
      </w:r>
    </w:p>
    <w:p w:rsidR="00655CC9" w:rsidRPr="00EA7E02" w:rsidRDefault="00655CC9" w:rsidP="005A17E7">
      <w:pPr>
        <w:jc w:val="center"/>
        <w:rPr>
          <w:sz w:val="20"/>
          <w:szCs w:val="20"/>
          <w:lang w:eastAsia="sk-SK"/>
        </w:rPr>
      </w:pPr>
    </w:p>
    <w:p w:rsidR="00CE164B" w:rsidRPr="00EA7E02" w:rsidRDefault="00CE164B" w:rsidP="005A17E7">
      <w:pPr>
        <w:jc w:val="center"/>
        <w:rPr>
          <w:sz w:val="20"/>
          <w:szCs w:val="20"/>
          <w:lang w:eastAsia="sk-SK"/>
        </w:rPr>
      </w:pPr>
    </w:p>
    <w:p w:rsidR="00CE164B" w:rsidRPr="00EA7E02" w:rsidRDefault="00CE164B" w:rsidP="005A17E7">
      <w:pPr>
        <w:jc w:val="center"/>
        <w:rPr>
          <w:sz w:val="20"/>
          <w:szCs w:val="20"/>
          <w:lang w:eastAsia="sk-SK"/>
        </w:rPr>
      </w:pPr>
    </w:p>
    <w:p w:rsidR="00CE164B" w:rsidRPr="00EA7E02" w:rsidRDefault="00CE164B" w:rsidP="00CE164B">
      <w:pPr>
        <w:spacing w:after="0"/>
        <w:jc w:val="center"/>
        <w:rPr>
          <w:b/>
          <w:szCs w:val="20"/>
          <w:lang w:eastAsia="sk-SK"/>
        </w:rPr>
      </w:pPr>
      <w:r w:rsidRPr="00EA7E02">
        <w:rPr>
          <w:b/>
          <w:szCs w:val="20"/>
          <w:lang w:eastAsia="sk-SK"/>
        </w:rPr>
        <w:t>Návod na použitie</w:t>
      </w:r>
    </w:p>
    <w:p w:rsidR="00CE164B" w:rsidRPr="00EA7E02" w:rsidRDefault="00CE164B" w:rsidP="00CE164B">
      <w:pPr>
        <w:spacing w:after="0"/>
        <w:jc w:val="center"/>
        <w:rPr>
          <w:b/>
          <w:szCs w:val="20"/>
          <w:lang w:eastAsia="sk-SK"/>
        </w:rPr>
      </w:pPr>
      <w:r w:rsidRPr="00EA7E02">
        <w:rPr>
          <w:b/>
          <w:szCs w:val="20"/>
          <w:lang w:eastAsia="sk-SK"/>
        </w:rPr>
        <w:t xml:space="preserve">Indukčná </w:t>
      </w:r>
      <w:proofErr w:type="spellStart"/>
      <w:r w:rsidRPr="00EA7E02">
        <w:rPr>
          <w:b/>
          <w:szCs w:val="20"/>
          <w:lang w:eastAsia="sk-SK"/>
        </w:rPr>
        <w:t>jednoplatnička</w:t>
      </w:r>
      <w:proofErr w:type="spellEnd"/>
    </w:p>
    <w:p w:rsidR="00CE164B" w:rsidRPr="00EA7E02" w:rsidRDefault="00CE164B" w:rsidP="005A17E7">
      <w:pPr>
        <w:jc w:val="center"/>
        <w:rPr>
          <w:b/>
          <w:szCs w:val="20"/>
          <w:lang w:eastAsia="sk-SK"/>
        </w:rPr>
      </w:pPr>
      <w:r w:rsidRPr="00EA7E02">
        <w:rPr>
          <w:b/>
          <w:szCs w:val="20"/>
          <w:lang w:eastAsia="sk-SK"/>
        </w:rPr>
        <w:t>Indukčná dvojplatnička</w:t>
      </w:r>
    </w:p>
    <w:p w:rsidR="00CE164B" w:rsidRPr="00EA7E02" w:rsidRDefault="00B11E06" w:rsidP="005A17E7">
      <w:pPr>
        <w:jc w:val="center"/>
        <w:rPr>
          <w:lang w:eastAsia="sk-SK"/>
        </w:rPr>
      </w:pPr>
      <w:r>
        <w:rPr>
          <w:lang w:eastAsia="sk-SK"/>
        </w:rPr>
        <w:pict>
          <v:shape id="Obrázok 1" o:spid="_x0000_i1026" type="#_x0000_t75" style="width:278.2pt;height:131.4pt;visibility:visible;mso-wrap-style:square">
            <v:imagedata r:id="rId13" o:title=""/>
          </v:shape>
        </w:pic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Vážený zákazník,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 xml:space="preserve">Ďakujeme, že ste sa rozhodli pre náš výrobok. Pred prvým použitím si pozorne si prečítajte pokyny v tomto Návode na použitie, aby ste sa so spotrebičom zoznámili a používali ho správne. Nájdete tu dôležité pokyny k používaniu, pre svoju </w:t>
      </w:r>
      <w:r w:rsidR="00B11E06" w:rsidRPr="00EA7E02">
        <w:rPr>
          <w:sz w:val="20"/>
          <w:lang w:eastAsia="sk-SK"/>
        </w:rPr>
        <w:t>bezpečnosť</w:t>
      </w:r>
      <w:r w:rsidRPr="00EA7E02">
        <w:rPr>
          <w:sz w:val="20"/>
          <w:lang w:eastAsia="sk-SK"/>
        </w:rPr>
        <w:t xml:space="preserve"> a k údržbe spotrebiča.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Keď si prečítate tento Návod na použitie, obsluha spotrebiča pre Vás nebude problémom.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Najskôr skontrolujte, či Vám bol spotrebič dodaný nepoškodený. Ak zistíte poškodenie, vzniknuté pri transporte, obráťte sa s presným uvedením poškodenia na miesto, kde ste spotrebič zakúpili resp. na príslušný zákaznícky servis.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Tento Návod na použitie si odložte, aby ste ho mali v prípade potreby k dispozícii. Návod na použitie patrí k spotrebiču a treba si ho odložiť spolu so záručným listom, pokladničným blokom a pokiaľ možno aj s originálnym obalom a vnútorným obalovým materiálom. Pri zmene vlastníka treba priložiť návod na použitie.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Výrobca si vyhradzuje právo, urobiť také zmeny, ktoré nemajú vplyv na fungovanie spotrebiča.</w:t>
      </w:r>
    </w:p>
    <w:p w:rsidR="00CE164B" w:rsidRPr="00EA7E02" w:rsidRDefault="00CE164B" w:rsidP="00CE164B">
      <w:pPr>
        <w:spacing w:after="0" w:line="240" w:lineRule="auto"/>
        <w:jc w:val="both"/>
        <w:rPr>
          <w:sz w:val="20"/>
          <w:lang w:eastAsia="sk-SK"/>
        </w:rPr>
      </w:pPr>
      <w:r w:rsidRPr="00EA7E02">
        <w:rPr>
          <w:b/>
          <w:sz w:val="20"/>
          <w:lang w:eastAsia="sk-SK"/>
        </w:rPr>
        <w:t>Pozor!</w:t>
      </w:r>
      <w:r w:rsidRPr="00EA7E02">
        <w:rPr>
          <w:sz w:val="20"/>
          <w:lang w:eastAsia="sk-SK"/>
        </w:rPr>
        <w:t xml:space="preserve"> Spotrebič začnite používať až po oboznámení sa s pokynmi a obsahom </w:t>
      </w:r>
      <w:proofErr w:type="spellStart"/>
      <w:r w:rsidRPr="00EA7E02">
        <w:rPr>
          <w:sz w:val="20"/>
          <w:lang w:eastAsia="sk-SK"/>
        </w:rPr>
        <w:t>totho</w:t>
      </w:r>
      <w:proofErr w:type="spellEnd"/>
      <w:r w:rsidRPr="00EA7E02">
        <w:rPr>
          <w:sz w:val="20"/>
          <w:lang w:eastAsia="sk-SK"/>
        </w:rPr>
        <w:t xml:space="preserve"> Návodu na použitie.</w:t>
      </w:r>
    </w:p>
    <w:p w:rsidR="00CE164B" w:rsidRPr="00EA7E02" w:rsidRDefault="00CE164B" w:rsidP="00CE164B">
      <w:pPr>
        <w:spacing w:after="0" w:line="240" w:lineRule="auto"/>
        <w:jc w:val="both"/>
        <w:rPr>
          <w:b/>
          <w:sz w:val="24"/>
          <w:u w:val="single"/>
          <w:lang w:eastAsia="sk-SK"/>
        </w:rPr>
      </w:pPr>
      <w:r w:rsidRPr="00EA7E02">
        <w:rPr>
          <w:b/>
          <w:sz w:val="24"/>
          <w:u w:val="single"/>
          <w:lang w:eastAsia="sk-SK"/>
        </w:rPr>
        <w:lastRenderedPageBreak/>
        <w:t>Bezpečnostné predpisy</w:t>
      </w:r>
    </w:p>
    <w:p w:rsidR="00CE164B" w:rsidRPr="00EA7E02" w:rsidRDefault="00CE164B" w:rsidP="00CE164B">
      <w:pPr>
        <w:spacing w:after="0" w:line="240" w:lineRule="auto"/>
        <w:jc w:val="both"/>
        <w:rPr>
          <w:b/>
          <w:sz w:val="20"/>
          <w:lang w:eastAsia="sk-SK"/>
        </w:rPr>
      </w:pPr>
      <w:r w:rsidRPr="00EA7E02">
        <w:rPr>
          <w:b/>
          <w:sz w:val="20"/>
          <w:lang w:eastAsia="sk-SK"/>
        </w:rPr>
        <w:t>Spotrebič sa smie používať iba spôsobom, ktorý je uvedený v Návode na použitie! Akékoľvek iné použitie je neprípustné! V prípade škody spôsobenej nesprávnym používaním alebo nerešpektovaním bezpečnostných predpisov záruka stráca platnosť! Pri zmene vlastníka treba priložiť Návod na použitie.</w:t>
      </w:r>
    </w:p>
    <w:p w:rsidR="00CE164B" w:rsidRPr="00EA7E02" w:rsidRDefault="00CE164B" w:rsidP="00CE164B">
      <w:pPr>
        <w:spacing w:after="0" w:line="240" w:lineRule="auto"/>
        <w:jc w:val="both"/>
        <w:rPr>
          <w:b/>
          <w:sz w:val="20"/>
          <w:lang w:eastAsia="sk-SK"/>
        </w:rPr>
      </w:pPr>
    </w:p>
    <w:p w:rsidR="00CE164B" w:rsidRPr="00EA7E02" w:rsidRDefault="00A7143A" w:rsidP="00CE164B">
      <w:pPr>
        <w:spacing w:after="0" w:line="240" w:lineRule="auto"/>
        <w:jc w:val="both"/>
        <w:rPr>
          <w:b/>
          <w:sz w:val="20"/>
          <w:lang w:eastAsia="sk-SK"/>
        </w:rPr>
      </w:pPr>
      <w:r>
        <w:pict>
          <v:shape id="Obrázok 1" o:spid="_x0000_s1031" type="#_x0000_t75" style="position:absolute;left:0;text-align:left;margin-left:.3pt;margin-top:8.8pt;width:48.15pt;height:41.1pt;z-index:2;visibility:visible;mso-wrap-style:square;mso-position-horizontal-relative:text;mso-position-vertical-relative:text">
            <v:imagedata r:id="rId14" o:title=""/>
            <w10:wrap type="square"/>
          </v:shape>
        </w:pict>
      </w:r>
      <w:r w:rsidR="00CE164B" w:rsidRPr="00EA7E02">
        <w:rPr>
          <w:b/>
          <w:sz w:val="20"/>
          <w:lang w:eastAsia="sk-SK"/>
        </w:rPr>
        <w:t>Varovanie: Horúce povrchy!</w:t>
      </w:r>
    </w:p>
    <w:p w:rsidR="00CE164B" w:rsidRPr="00EA7E02" w:rsidRDefault="00CE164B" w:rsidP="00CE164B">
      <w:pPr>
        <w:spacing w:after="0" w:line="240" w:lineRule="auto"/>
        <w:jc w:val="both"/>
        <w:rPr>
          <w:b/>
          <w:sz w:val="20"/>
          <w:lang w:eastAsia="sk-SK"/>
        </w:rPr>
      </w:pPr>
      <w:r w:rsidRPr="00EA7E02">
        <w:rPr>
          <w:b/>
          <w:sz w:val="20"/>
          <w:lang w:eastAsia="sk-SK"/>
        </w:rPr>
        <w:t>Hrozí popálenie a poranenie!</w:t>
      </w:r>
    </w:p>
    <w:p w:rsidR="00CE164B" w:rsidRPr="00EA7E02" w:rsidRDefault="00CE164B" w:rsidP="00CE164B">
      <w:pPr>
        <w:spacing w:after="0" w:line="240" w:lineRule="auto"/>
        <w:ind w:left="1134" w:hanging="1134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Kryt a miesto (miesta) na varenie sú počas prevádzky horúce. Kvôli horúcemu riadu môže sklo</w:t>
      </w:r>
      <w:r w:rsidR="00B11E06">
        <w:rPr>
          <w:sz w:val="20"/>
          <w:lang w:eastAsia="sk-SK"/>
        </w:rPr>
        <w:t>-</w:t>
      </w:r>
      <w:r w:rsidRPr="00EA7E02">
        <w:rPr>
          <w:sz w:val="20"/>
          <w:lang w:eastAsia="sk-SK"/>
        </w:rPr>
        <w:t>keramická platňa aj po vypnutí ešte určitú dobu vyžarovať zvýšené zvyškové teplo.</w:t>
      </w:r>
    </w:p>
    <w:p w:rsidR="00CE164B" w:rsidRPr="00EA7E02" w:rsidRDefault="00CE164B" w:rsidP="00CE164B">
      <w:pPr>
        <w:spacing w:after="0" w:line="240" w:lineRule="auto"/>
        <w:ind w:left="1134" w:hanging="1134"/>
        <w:jc w:val="both"/>
        <w:rPr>
          <w:sz w:val="20"/>
          <w:lang w:eastAsia="sk-SK"/>
        </w:rPr>
      </w:pPr>
    </w:p>
    <w:p w:rsidR="00CE164B" w:rsidRPr="00EA7E02" w:rsidRDefault="00CE164B" w:rsidP="00AD7AAB">
      <w:pPr>
        <w:numPr>
          <w:ilvl w:val="0"/>
          <w:numId w:val="19"/>
        </w:numPr>
        <w:shd w:val="clear" w:color="auto" w:fill="D9D9D9"/>
        <w:spacing w:after="0" w:line="240" w:lineRule="auto"/>
        <w:ind w:left="284" w:hanging="284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Pozor! Osoby s prístrojmi na podporu životných funkcií (napr. kardiostimulátor, inzulínová pumpa alebo načúvací prístroj) sa musia uistiť, že práca a funkcia týchto prístrojov nie je rušená indukčným varičom.</w:t>
      </w:r>
    </w:p>
    <w:p w:rsidR="00CE164B" w:rsidRPr="00EA7E02" w:rsidRDefault="00CE164B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Spotrebič zapájajte iba do jednofázovej elektrickej zásuvky so sieťovým napätím podľa typového štítku.</w:t>
      </w:r>
    </w:p>
    <w:p w:rsidR="00CE164B" w:rsidRP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Spotrebič v žiadnom prípade nezapínajte, pokiaľ sú spotrebič, prívodný kábel alebo zástrčka akokoľvek poškodené.</w:t>
      </w:r>
    </w:p>
    <w:p w:rsidR="00EA7E02" w:rsidRDefault="00EA7E02" w:rsidP="00AD7AAB">
      <w:pPr>
        <w:numPr>
          <w:ilvl w:val="0"/>
          <w:numId w:val="19"/>
        </w:numPr>
        <w:shd w:val="clear" w:color="auto" w:fill="D9D9D9"/>
        <w:spacing w:after="0" w:line="240" w:lineRule="auto"/>
        <w:ind w:left="284" w:hanging="284"/>
        <w:jc w:val="both"/>
        <w:rPr>
          <w:sz w:val="20"/>
          <w:lang w:eastAsia="sk-SK"/>
        </w:rPr>
      </w:pPr>
      <w:r w:rsidRPr="00EA7E02">
        <w:rPr>
          <w:b/>
          <w:sz w:val="20"/>
          <w:lang w:eastAsia="sk-SK"/>
        </w:rPr>
        <w:t>Deti</w:t>
      </w:r>
      <w:r w:rsidRPr="00EA7E02">
        <w:rPr>
          <w:sz w:val="20"/>
          <w:lang w:eastAsia="sk-SK"/>
        </w:rPr>
        <w:t xml:space="preserve"> staršie ako 8 rokov a osoby so zníženými fyzickým, zmyslovými alebo mentálnymi schopnosťami alebo nedostatkom skúseností a/alebo znalostí smú spotrebič používať iba v prípade, že sú pod dohľadom alebo boli poučené o bezpečnom používaní spotrebiča a rizikách, ktoré z toho vyplývajú.</w:t>
      </w:r>
      <w:r w:rsidRPr="00EA7E02">
        <w:rPr>
          <w:sz w:val="20"/>
          <w:lang w:eastAsia="sk-SK"/>
        </w:rPr>
        <w:br/>
      </w:r>
      <w:r w:rsidRPr="00EA7E02">
        <w:rPr>
          <w:b/>
          <w:sz w:val="20"/>
          <w:lang w:eastAsia="sk-SK"/>
        </w:rPr>
        <w:t>Deti</w:t>
      </w:r>
      <w:r w:rsidRPr="00EA7E02">
        <w:rPr>
          <w:sz w:val="20"/>
          <w:lang w:eastAsia="sk-SK"/>
        </w:rPr>
        <w:t xml:space="preserve"> sa so spotrebičom nesmú hrať.</w:t>
      </w:r>
    </w:p>
    <w:p w:rsidR="00EA7E02" w:rsidRPr="00EA7E02" w:rsidRDefault="00EA7E02" w:rsidP="00AD7AAB">
      <w:pPr>
        <w:numPr>
          <w:ilvl w:val="0"/>
          <w:numId w:val="19"/>
        </w:numPr>
        <w:shd w:val="clear" w:color="auto" w:fill="D9D9D9"/>
        <w:spacing w:after="0" w:line="240" w:lineRule="auto"/>
        <w:ind w:left="284" w:hanging="284"/>
        <w:jc w:val="both"/>
        <w:rPr>
          <w:sz w:val="20"/>
          <w:lang w:eastAsia="sk-SK"/>
        </w:rPr>
      </w:pPr>
      <w:r w:rsidRPr="00EA7E02">
        <w:rPr>
          <w:sz w:val="20"/>
          <w:lang w:eastAsia="sk-SK"/>
        </w:rPr>
        <w:t>Čistenie a </w:t>
      </w:r>
      <w:r w:rsidRPr="00EA7E02">
        <w:rPr>
          <w:b/>
          <w:sz w:val="20"/>
          <w:lang w:eastAsia="sk-SK"/>
        </w:rPr>
        <w:t>užívateľskú údržbu</w:t>
      </w:r>
      <w:r w:rsidRPr="00EA7E02">
        <w:rPr>
          <w:sz w:val="20"/>
          <w:lang w:eastAsia="sk-SK"/>
        </w:rPr>
        <w:t xml:space="preserve"> smú robiť </w:t>
      </w:r>
      <w:r w:rsidRPr="00EA7E02">
        <w:rPr>
          <w:b/>
          <w:sz w:val="20"/>
          <w:lang w:eastAsia="sk-SK"/>
        </w:rPr>
        <w:t>deti</w:t>
      </w:r>
      <w:r w:rsidRPr="00EA7E02">
        <w:rPr>
          <w:sz w:val="20"/>
          <w:lang w:eastAsia="sk-SK"/>
        </w:rPr>
        <w:t xml:space="preserve"> iba v prípade, že sú staršie ako 8 rokov a sú pod dohľadom.</w:t>
      </w:r>
    </w:p>
    <w:p w:rsidR="00EA7E02" w:rsidRDefault="00EA7E02" w:rsidP="00AD7AAB">
      <w:pPr>
        <w:numPr>
          <w:ilvl w:val="0"/>
          <w:numId w:val="19"/>
        </w:numPr>
        <w:shd w:val="clear" w:color="auto" w:fill="D9D9D9"/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Deti mladšie ako 8 rokov by sa nemali približovať k prístroju a jeho prívodnému káblu.</w:t>
      </w:r>
    </w:p>
    <w:p w:rsid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Prívodný kábel nesmie prísť počas používania do kontaktu so spotrebičom. Ani prívodné káble iných elektrických spotrebičov v blízkosti sa nesmú dotýkať horúcich povrchov. </w:t>
      </w:r>
      <w:r w:rsidRPr="00EA7E02">
        <w:rPr>
          <w:b/>
          <w:sz w:val="20"/>
          <w:lang w:eastAsia="sk-SK"/>
        </w:rPr>
        <w:t>Nebezpečenstvo požiaru!</w:t>
      </w:r>
    </w:p>
    <w:p w:rsid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Prívodný kábel nenechajte visieť nadol, aby nedošlo k náhodnému stiahnutiu spotrebiča.</w:t>
      </w:r>
    </w:p>
    <w:p w:rsid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Prívodný kábel chráňte pred ostrými hranami, pred zacviknutím aj pôsobením vysokých teplôt a nikdy ho nepokladajte na spotrebič ani ho okolo neho neobtáčajte.</w:t>
      </w:r>
    </w:p>
    <w:p w:rsid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používajte iba s kompletne roztočeným prívodným káblom. Hrozí prehriatie!</w:t>
      </w:r>
    </w:p>
    <w:p w:rsidR="00EA7E02" w:rsidRPr="00EA7E0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Nedotýkajte sa súčiastok pod prúdom! </w:t>
      </w:r>
      <w:r w:rsidRPr="00EA7E02">
        <w:rPr>
          <w:b/>
          <w:sz w:val="20"/>
          <w:lang w:eastAsia="sk-SK"/>
        </w:rPr>
        <w:t>Životu nebezpečné!</w:t>
      </w:r>
    </w:p>
    <w:p w:rsidR="00A73482" w:rsidRP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 xml:space="preserve">Nedotýkajte sa spotrebič mokrými alebo vlhkými rukami! </w:t>
      </w:r>
      <w:r w:rsidRPr="00EA7E02">
        <w:rPr>
          <w:b/>
          <w:sz w:val="20"/>
          <w:lang w:eastAsia="sk-SK"/>
        </w:rPr>
        <w:t>Životu nebezpečné!</w:t>
      </w:r>
    </w:p>
    <w:p w:rsidR="00A73482" w:rsidRP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Malé deti ani domáce zvieratá by sa nemali približovať k spotrebiču! </w:t>
      </w:r>
      <w:r w:rsidRPr="00A73482">
        <w:rPr>
          <w:b/>
          <w:sz w:val="20"/>
          <w:lang w:eastAsia="sk-SK"/>
        </w:rPr>
        <w:t>Hrozí popálenie!</w:t>
      </w:r>
    </w:p>
    <w:p w:rsidR="00EA7E02" w:rsidRPr="00A73482" w:rsidRDefault="00EA7E0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Spotrebič v prevádzke nenechávajte bez dohľadu!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VAROVANIE: Pri práci s olejmi a tukmi by ste spotrebič nemali nechávať bez dozoru z dôvodu nebezpečenstva požiaru. Tuky, olej a alkohol sa môžu vznietiť. Nepokúšajte sa hasiť oheň vodou, spotrebič vypnite, vtiahnite zástrčku z el. zásuvky a plamene zakryte pokrievkou alebo dekou na hasenie.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sa nesmie používať v bezprostrednej blízkosti vykurovacieho telesa, sporáku, radiátoru, kachlí ani iných zdrojov tepla či otvoreného ohňa.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Spotrebič nepoužívať v priestoroch, kde hrozí požiar alebo výbuch ani s ľahko zápalnou atmosférou. </w:t>
      </w:r>
      <w:r w:rsidRPr="00A73482">
        <w:rPr>
          <w:b/>
          <w:sz w:val="20"/>
          <w:lang w:eastAsia="sk-SK"/>
        </w:rPr>
        <w:t>Hrozí požiar!</w:t>
      </w:r>
    </w:p>
    <w:p w:rsidR="00A73482" w:rsidRP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Horľaviny alebo spreje neskladujte ani nepoužívať v blízkosti spotrebiča! </w:t>
      </w:r>
      <w:r w:rsidRPr="00A73482">
        <w:rPr>
          <w:b/>
          <w:sz w:val="20"/>
          <w:lang w:eastAsia="sk-SK"/>
        </w:rPr>
        <w:t>Hrozí požiar!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 xml:space="preserve">VAROVANIE: </w:t>
      </w:r>
      <w:r>
        <w:rPr>
          <w:sz w:val="20"/>
          <w:lang w:eastAsia="sk-SK"/>
        </w:rPr>
        <w:t>Keď sa na sklo-keramickej doske alebo na spotrebiči objavia trhliny, pukliny alebo praskliny, spotrebič hneď vypnite a vypojte z el. zásuvky, aby nedošlo k zásahu elektrickým prúdom.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Cez poškodené miesta by sa mohlo jedlo, ktoré vykypí, dostať k súčiastkam varnej platne, ktoré sú pod prúdom.</w:t>
      </w:r>
    </w:p>
    <w:p w:rsidR="00A73482" w:rsidRDefault="00A73482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Rešpektujte pokyny na údržbu a čistenie sklo-keramickej platne uvedené v Návod na použitie.</w:t>
      </w:r>
    </w:p>
    <w:p w:rsidR="0041787D" w:rsidRDefault="0041787D" w:rsidP="0041787D">
      <w:pPr>
        <w:spacing w:after="0" w:line="240" w:lineRule="auto"/>
        <w:ind w:left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Za neodbornú obsluhu záruku nepreberáme.</w:t>
      </w:r>
    </w:p>
    <w:p w:rsidR="0041787D" w:rsidRP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Po každom použití a keď prístroj dlhšie nebudete používať, pred čistením a údržbou vytiahnite zástrčku z el. zásuvky.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sa objavia poruchy alebo spotrebič nefunguje bezchybne, vypnite ho, vytiahnite zástrčku z el. zásuvky a obráťte sa na zákaznícky servis.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El. zásuvka musí byť kedykoľvek prístupná, aby ste mohli zástrčku rýchlo vypojiť. Pri vypájaní zástrčky z el. zásuvky neťahajte za prívodný kábel.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Pred použitím vždy skontrolujte spotrebič, prívodný kábel aj zástrčku, či nie sú poškodené/závadné. Ak sú zástrčka, prívodný kábel alebo spotrebič poškodené, spotrebič sa nesmie zapínať.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je prívodný kábel tohto spotrebiča poškodený, musí ho vymeniť výrobca, jeho zákaznícky servis alebo iná podobne kvalifikovaná osoba, aby ste predišli možnému riziku.</w:t>
      </w:r>
    </w:p>
    <w:p w:rsidR="0041787D" w:rsidRDefault="0041787D" w:rsidP="0041787D">
      <w:pPr>
        <w:spacing w:after="0" w:line="240" w:lineRule="auto"/>
        <w:ind w:left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Neodborné opravy prestavujú pre používateľa značné riziko.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sa nesmie obsluhovať pomocou externého časovača alebo iné externého systému diaľkového ovládania.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Spotrebič, prívodný kábel ani zástrčka sa nesmú ponárať do vody či inej kvapaliny. Dajte pozor, aby do spotrebiča nevnikla voda zo spodnej strany.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>Spotrebič sa nesmie čistiť v umývačke riadu.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sa nesmie čistiť parným čističom!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sa nesmie používať ako odkladacia plocha. Prijmi opatrenia proti možným rizikám požiaru.</w:t>
      </w:r>
    </w:p>
    <w:p w:rsid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nepoužívajte v exteriéri ani vo vlhkých priestoroch.</w:t>
      </w:r>
    </w:p>
    <w:p w:rsidR="0041787D" w:rsidRPr="0041787D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color w:val="FF0000"/>
          <w:sz w:val="20"/>
          <w:lang w:eastAsia="sk-SK"/>
        </w:rPr>
        <w:t>Spotrebič neumiestňujte a nepoužívajte vedľa kontajnerov či nádob na vodu alebo iných zdrojov vody.</w:t>
      </w:r>
    </w:p>
    <w:p w:rsidR="00235A96" w:rsidRDefault="0041787D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Po použití treba indukčnú varnú platňu vypnúť </w:t>
      </w:r>
      <w:r w:rsidR="00235A96">
        <w:rPr>
          <w:sz w:val="20"/>
          <w:lang w:eastAsia="sk-SK"/>
        </w:rPr>
        <w:t>ovládačom a/alebo vypínačom a vytiahnuť zástrčku z el. zásuvky. Nespoliehajte sa len na rozpoznanie hrnca. Spotrebič treba odpojiť od siete vytiahnutím zástrčky z el. zásuvky!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Dajte pozor, aby sa v blízkosti varnej platne nenachádzali horľavé látky, ktoré by sa mohli vznietiť pôsobením tepelného vyžarovania alebo priamym kontaktom (napr. závesy, záclony atď. náhodným závanom vzduchu).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Varič neumiestňujte na skrinku ani iný horľavý materiál! Hrozí požiar!</w:t>
      </w:r>
    </w:p>
    <w:p w:rsidR="0041787D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Nad spotrebičom musí byť voľné miesto. Ani prevádzka pod odsávačom pár nie je z dôvodu nedodržania bezpečnostného odstupu možná.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spotrebičom hýbete alebo ho chcete premiestiť inam, vypnite ho a vytiahnite zástrčku z el. zásuvky. Nepremiestňujte spotrebič ťahaním za prívodný kábel alebo keď sa na ňom nachádza kuchynský riad.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použijete el. zástrčku v blízkosti variča, dajte pozor, aby sa prívodný kábel nedostal do kontaktu s horúcou varnou platňou. Prívodné káble elektrických spotrebičov sa nesmú dotýkať horúcich varných platní.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Neumiestňujte spotrebič na kovové alebo lakované plochy, lebo by sa rozpálili a mohli by poškodiť spodnú stranu prístroja alebo nábytok.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Vetracie otvory na spotrebiči nesmú byť zakryté alebo zablokované. </w:t>
      </w:r>
      <w:r w:rsidRPr="00235A96">
        <w:rPr>
          <w:b/>
          <w:sz w:val="20"/>
          <w:lang w:eastAsia="sk-SK"/>
        </w:rPr>
        <w:t>Hrozí prehriatie!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sa musí neustále voľne vetrať.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Do vetracích otvorov nič nezastrkujte. </w:t>
      </w:r>
      <w:r w:rsidRPr="00235A96">
        <w:rPr>
          <w:b/>
          <w:sz w:val="20"/>
          <w:lang w:eastAsia="sk-SK"/>
        </w:rPr>
        <w:t>Hrozí zásah el. prúdom!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Na horúci povrch varných zón nepokladajte nádoby z hliníka, umelej hmoty alebo hliníkovej fólie. Nepoužívajte hliníkový riad. Nezohrievajte neotvorené konzervy.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Používajte iba riad, ktorý je podľa výrobcu vhodný na používanie na indukčných varných platniach.</w:t>
      </w:r>
    </w:p>
    <w:p w:rsidR="00235A96" w:rsidRDefault="00235A96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Používajte hrnce a panvice s rovným dnom, ktoré </w:t>
      </w:r>
      <w:r w:rsidR="0078655F">
        <w:rPr>
          <w:sz w:val="20"/>
          <w:lang w:eastAsia="sk-SK"/>
        </w:rPr>
        <w:t xml:space="preserve">nemá okraje, ostrapky alebo </w:t>
      </w:r>
      <w:r w:rsidR="0078655F" w:rsidRPr="0078655F">
        <w:rPr>
          <w:b/>
          <w:sz w:val="20"/>
          <w:lang w:eastAsia="sk-SK"/>
        </w:rPr>
        <w:t>ostré hrany</w:t>
      </w:r>
      <w:r w:rsidR="0078655F">
        <w:rPr>
          <w:sz w:val="20"/>
          <w:lang w:eastAsia="sk-SK"/>
        </w:rPr>
        <w:t>. Inak by na skle zostali škrabance.</w:t>
      </w:r>
    </w:p>
    <w:p w:rsidR="0078655F" w:rsidRDefault="0078655F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Cukor v pevnej alebo tekutej forme alebo plasty sa nesmú dostať na horúcu varnú platňu. Pri chladnutí by mohli spôsobiť škrabance alebo praskliny na sklo-keramickom povrchu. Ak sa cukor alebo plast nedopatrením dostanú na horúcu platňu, treba ich zoškrabnúť škrabkou.</w:t>
      </w:r>
    </w:p>
    <w:p w:rsidR="0078655F" w:rsidRDefault="0078655F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>Nepokladajte na varnú dosku riad s mokrým alebo vlhkým dnom, môže dôjsť k neodstrániteľným zmenám alebo sfarbeniu varnej platne.</w:t>
      </w:r>
    </w:p>
    <w:p w:rsidR="0078655F" w:rsidRDefault="0078655F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Pri používaní hrncov s dvojitým dnom buďte opatrní. Nenechajte ich variť prázdne! Mohlo by dôjsť k poškodeniu hrnca aj varnej platne. Na takéto poškodenie sa záruka nevzťahuje!</w:t>
      </w:r>
    </w:p>
    <w:p w:rsidR="0078655F" w:rsidRDefault="0078655F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Predmety z kovu,</w:t>
      </w:r>
      <w:r w:rsidR="00FC546E">
        <w:rPr>
          <w:sz w:val="20"/>
          <w:lang w:eastAsia="sk-SK"/>
        </w:rPr>
        <w:t xml:space="preserve"> ako napr. nože, vidličky, lyžice alebo pokrievky by ste nemali odkladať na varnú platňu, mohli by byť horúce. Hrozí popálenie!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Dajte pozor, aby na varnú platňu nič nespadlo. Bodové poškodenia nárazom by mohli viesť k prasklinám alebo puklinám na sklo-keramickom povrchu.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Indukčná varná platňa je určená na prípravu jedál v domácnosti. Akékoľvek iné použitie je neprípustné. Spotrebič nie je určený na podnikateľské účely.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sa indukčná varná platňa používa v bezprostrednej blízkosti rádia, TV alebo iného vysielača či počítača, alebo iných pamäťových médií, treba preveriť, či je možná ovládanie, lebo tieto prístroje citlivo reagujú na magnetické polia.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Opravy elektrospotrebičov smú vykonávať iba autorizované zmluvné opravovne / opravári. Neodborné opravy predstavujú pre užívateľa závažné riziko.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čistiť, premiestňovať alebo baliť iba vychladnutý.</w:t>
      </w:r>
    </w:p>
    <w:p w:rsidR="00FC546E" w:rsidRDefault="00FC546E" w:rsidP="00CE164B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Obalový materiál (plastové vrecká, kartóny, polystyrén atď.) nepatria z bezpečnostných dôvodov do rúk deťom.</w:t>
      </w:r>
    </w:p>
    <w:p w:rsidR="00FC546E" w:rsidRDefault="00FC546E" w:rsidP="00FC546E">
      <w:pPr>
        <w:spacing w:after="0" w:line="240" w:lineRule="auto"/>
        <w:jc w:val="both"/>
        <w:rPr>
          <w:sz w:val="20"/>
          <w:lang w:eastAsia="sk-SK"/>
        </w:rPr>
      </w:pPr>
    </w:p>
    <w:p w:rsidR="00FC546E" w:rsidRPr="00FC546E" w:rsidRDefault="00FC546E" w:rsidP="00FC546E">
      <w:pPr>
        <w:spacing w:after="0" w:line="240" w:lineRule="auto"/>
        <w:jc w:val="both"/>
        <w:rPr>
          <w:b/>
          <w:sz w:val="24"/>
          <w:lang w:eastAsia="sk-SK"/>
        </w:rPr>
      </w:pPr>
      <w:r w:rsidRPr="00FC546E">
        <w:rPr>
          <w:b/>
          <w:sz w:val="24"/>
          <w:lang w:eastAsia="sk-SK"/>
        </w:rPr>
        <w:t>Balenie</w:t>
      </w:r>
    </w:p>
    <w:p w:rsidR="00FC546E" w:rsidRDefault="00FC546E" w:rsidP="00FC546E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 vybalení spotrebiča skontrolujte, či sa pri transporte nepoškodil a obsah balenia je kompletný! Ak je poškodený alebo nekompletný, obráťte sa na špecializovanú predajňu, kde ste spotrebič zakúpili.</w:t>
      </w:r>
    </w:p>
    <w:p w:rsidR="00FC546E" w:rsidRDefault="00FC546E" w:rsidP="00FC546E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Originálnu krabicu neodhadzujte, využijete ju pri uskladnení alebo zasielaní do servisu.</w:t>
      </w:r>
    </w:p>
    <w:p w:rsidR="00FC546E" w:rsidRDefault="00FC546E" w:rsidP="00FC546E">
      <w:pPr>
        <w:spacing w:after="0" w:line="240" w:lineRule="auto"/>
        <w:jc w:val="both"/>
        <w:rPr>
          <w:sz w:val="20"/>
          <w:lang w:eastAsia="sk-SK"/>
        </w:rPr>
      </w:pPr>
    </w:p>
    <w:p w:rsidR="00FC546E" w:rsidRDefault="00E80CC1" w:rsidP="00FC546E">
      <w:pPr>
        <w:spacing w:after="0" w:line="240" w:lineRule="auto"/>
        <w:jc w:val="both"/>
        <w:rPr>
          <w:sz w:val="20"/>
          <w:lang w:eastAsia="sk-SK"/>
        </w:rPr>
      </w:pPr>
      <w:r w:rsidRPr="00E80CC1">
        <w:rPr>
          <w:b/>
          <w:sz w:val="24"/>
          <w:u w:val="single"/>
          <w:lang w:eastAsia="sk-SK"/>
        </w:rPr>
        <w:t>Kuchynský riad</w:t>
      </w:r>
    </w:p>
    <w:p w:rsidR="00E80CC1" w:rsidRDefault="00E80CC1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Používajte iba kuchynský riad alebo panvice, ktoré sú vhodné na indukčné varné platne.</w:t>
      </w:r>
    </w:p>
    <w:p w:rsidR="00E80CC1" w:rsidRDefault="00E80CC1" w:rsidP="00E80CC1">
      <w:pPr>
        <w:spacing w:after="0" w:line="240" w:lineRule="auto"/>
        <w:ind w:left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Vhodné sú hrnce/panvice, ktoré sú zo železa, tzn. smaltované hrnce, hrnce z liatiny alebo magnetickej oceli.</w:t>
      </w:r>
    </w:p>
    <w:p w:rsidR="00B11E06" w:rsidRPr="00B11E06" w:rsidRDefault="00B11E06" w:rsidP="00B11E06">
      <w:pPr>
        <w:spacing w:after="0" w:line="240" w:lineRule="auto"/>
        <w:ind w:left="1701" w:hanging="1417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Upozornenie:</w:t>
      </w:r>
      <w:r>
        <w:rPr>
          <w:b/>
          <w:sz w:val="20"/>
          <w:lang w:eastAsia="sk-SK"/>
        </w:rPr>
        <w:tab/>
      </w:r>
      <w:r>
        <w:rPr>
          <w:sz w:val="20"/>
          <w:lang w:eastAsia="sk-SK"/>
        </w:rPr>
        <w:t>Otestujte vhodnosť kuchynského riadu pomocou magnetu. Ak magnet zostane držať na dne hrnca, hrniec resp. panvica sú vhodné na indukčnú platňu.</w:t>
      </w:r>
    </w:p>
    <w:p w:rsidR="00E80CC1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Používajte iba riad s plochým dnom. Musí byť úplne rovné, aby mohlo vyhrievanie optimálne fungovať.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Na varnú platňu pokladajte iba hrnce/panvice so suchým dnom. 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Používajte iba riad, ktorý nemá okraje, ostrapky alebo ostré hrany.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>Hrnce/panvice nikdy neposúvajte po varnej platni, mohli by ste poškriabať sklo-keramický povrch.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Výhody indukcie môžete využiť iba ak budete používať vhodný riad a priemer dna bude zodpovedať rozmeru varného miesta.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Dbajte vždy na dostatočné množstvo tekutiny v hrnci, keď sa tekutina vyvarí a na varnom mieste zostane prázdny hrniec, môže dôjsť k prehriatiu a poškodeniu.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Pri varení nezabúdajte na pokrievku a vyhýbajte sa zbytočnému otváraniu. Pri varení s pokrievkou sa spotrebuje menej energie.</w:t>
      </w:r>
    </w:p>
    <w:p w:rsidR="00B11E06" w:rsidRDefault="00B11E06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Každé množstvo jedla si žiada správny hrniec. Veľký takmer prázdny hrniec spotrebuje viac energie.</w:t>
      </w:r>
    </w:p>
    <w:p w:rsidR="00B11E06" w:rsidRDefault="00BF6BF2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Varné miesta a dná hrncov by ste mali udržiavať v čistote. Znečistenie môže viesť k poruche prenosu tepla.</w:t>
      </w:r>
    </w:p>
    <w:p w:rsidR="00BF6BF2" w:rsidRDefault="00BF6BF2" w:rsidP="00E80CC1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Rešpektujte aj pokyny uvedené v bode „Bezpečnostné informácie“.</w:t>
      </w:r>
    </w:p>
    <w:p w:rsidR="00BF6BF2" w:rsidRDefault="00BF6BF2" w:rsidP="00BF6BF2">
      <w:pPr>
        <w:spacing w:after="0" w:line="240" w:lineRule="auto"/>
        <w:jc w:val="both"/>
        <w:rPr>
          <w:sz w:val="20"/>
          <w:lang w:eastAsia="sk-SK"/>
        </w:rPr>
      </w:pPr>
    </w:p>
    <w:p w:rsidR="00BF6BF2" w:rsidRDefault="00BF6BF2" w:rsidP="00BF6BF2">
      <w:pPr>
        <w:spacing w:after="0" w:line="240" w:lineRule="auto"/>
        <w:jc w:val="both"/>
        <w:rPr>
          <w:b/>
          <w:u w:val="single"/>
          <w:lang w:eastAsia="sk-SK"/>
        </w:rPr>
      </w:pPr>
      <w:r>
        <w:rPr>
          <w:b/>
          <w:u w:val="single"/>
          <w:lang w:eastAsia="sk-SK"/>
        </w:rPr>
        <w:t>Umiestnenie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Dodržiavajte bezpečnostný odstup minimálne 1 meter od horľavých predmetov, stien alebo stavebných objektov. Hrozí požiar!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sz w:val="20"/>
          <w:lang w:eastAsia="sk-SK"/>
        </w:rPr>
        <w:t>Spotrebič umiestnite na žiaruvzdorné, stabilné, suché miesto mimo dosahu detí a vždy na rovný podklad.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sz w:val="20"/>
          <w:lang w:eastAsia="sk-SK"/>
        </w:rPr>
        <w:t>Neumiestňovať na kovové alebo lakované povrchy.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sz w:val="20"/>
          <w:lang w:eastAsia="sk-SK"/>
        </w:rPr>
        <w:t>Zo všetkých strán musí byť dostatočná cirkulácia vzduchu.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sz w:val="20"/>
          <w:lang w:eastAsia="sk-SK"/>
        </w:rPr>
        <w:t>Spotrebič nie je vhodný na vstavanie.</w:t>
      </w:r>
    </w:p>
    <w:p w:rsidR="00BF6BF2" w:rsidRPr="00BF6BF2" w:rsidRDefault="00BF6BF2" w:rsidP="00BF6BF2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sz w:val="20"/>
          <w:lang w:eastAsia="sk-SK"/>
        </w:rPr>
        <w:t>Rešpektujte bezpečnostné pokyny.</w:t>
      </w:r>
    </w:p>
    <w:p w:rsidR="00BF6BF2" w:rsidRDefault="00BF6BF2" w:rsidP="00BF6BF2">
      <w:pPr>
        <w:spacing w:after="0" w:line="240" w:lineRule="auto"/>
        <w:jc w:val="both"/>
        <w:rPr>
          <w:sz w:val="20"/>
          <w:lang w:eastAsia="sk-SK"/>
        </w:rPr>
      </w:pPr>
    </w:p>
    <w:p w:rsidR="00BF6BF2" w:rsidRPr="00BF6BF2" w:rsidRDefault="00BF6BF2" w:rsidP="00BF6BF2">
      <w:pPr>
        <w:spacing w:after="0" w:line="240" w:lineRule="auto"/>
        <w:jc w:val="both"/>
        <w:rPr>
          <w:b/>
          <w:u w:val="single"/>
          <w:lang w:eastAsia="sk-SK"/>
        </w:rPr>
      </w:pPr>
      <w:r>
        <w:rPr>
          <w:noProof/>
        </w:rPr>
        <w:pict>
          <v:shape id="_x0000_s1034" type="#_x0000_t75" style="position:absolute;left:0;text-align:left;margin-left:174.85pt;margin-top:1.95pt;width:151.45pt;height:118.65pt;z-index:4;visibility:visible;mso-wrap-style:square;mso-position-horizontal-relative:text;mso-position-vertical-relative:text">
            <v:imagedata r:id="rId15" o:title=""/>
            <w10:wrap type="square"/>
          </v:shape>
        </w:pict>
      </w:r>
      <w:r>
        <w:rPr>
          <w:b/>
          <w:u w:val="single"/>
          <w:lang w:eastAsia="sk-SK"/>
        </w:rPr>
        <w:t>Popis spotrebiča</w:t>
      </w:r>
    </w:p>
    <w:p w:rsidR="00BF6BF2" w:rsidRDefault="00BF6BF2" w:rsidP="00BF6BF2">
      <w:pPr>
        <w:spacing w:after="0" w:line="240" w:lineRule="auto"/>
        <w:jc w:val="both"/>
        <w:rPr>
          <w:b/>
          <w:sz w:val="20"/>
          <w:lang w:eastAsia="sk-SK"/>
        </w:rPr>
      </w:pPr>
    </w:p>
    <w:p w:rsidR="00BF6BF2" w:rsidRDefault="00BF6BF2" w:rsidP="00BF6BF2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 xml:space="preserve">Indukčná </w:t>
      </w:r>
      <w:proofErr w:type="spellStart"/>
      <w:r>
        <w:rPr>
          <w:b/>
          <w:sz w:val="20"/>
          <w:lang w:eastAsia="sk-SK"/>
        </w:rPr>
        <w:t>jednoplatnička</w:t>
      </w:r>
      <w:proofErr w:type="spellEnd"/>
      <w:r>
        <w:rPr>
          <w:b/>
          <w:sz w:val="20"/>
          <w:lang w:eastAsia="sk-SK"/>
        </w:rPr>
        <w:t xml:space="preserve"> (IKF-E 18 S)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Varné miesto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Displej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funkcie „</w:t>
      </w:r>
      <w:proofErr w:type="spellStart"/>
      <w:r>
        <w:rPr>
          <w:sz w:val="20"/>
          <w:lang w:eastAsia="sk-SK"/>
        </w:rPr>
        <w:t>Timer</w:t>
      </w:r>
      <w:proofErr w:type="spellEnd"/>
      <w:r>
        <w:rPr>
          <w:sz w:val="20"/>
          <w:lang w:eastAsia="sk-SK"/>
        </w:rPr>
        <w:t>“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funkcie „</w:t>
      </w:r>
      <w:proofErr w:type="spellStart"/>
      <w:r>
        <w:rPr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Kontrola prevádzky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nastavenia teploty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funkcie „</w:t>
      </w:r>
      <w:proofErr w:type="spellStart"/>
      <w:r>
        <w:rPr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“: funkcia zablokovania (detská poistka)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funkcie „</w:t>
      </w:r>
      <w:proofErr w:type="spellStart"/>
      <w:r>
        <w:rPr>
          <w:sz w:val="20"/>
          <w:lang w:eastAsia="sk-SK"/>
        </w:rPr>
        <w:t>Timer</w:t>
      </w:r>
      <w:proofErr w:type="spellEnd"/>
      <w:r>
        <w:rPr>
          <w:sz w:val="20"/>
          <w:lang w:eastAsia="sk-SK"/>
        </w:rPr>
        <w:t>“: nastavenie času chodu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„</w:t>
      </w:r>
      <w:proofErr w:type="spellStart"/>
      <w:r>
        <w:rPr>
          <w:sz w:val="20"/>
          <w:lang w:eastAsia="sk-SK"/>
        </w:rPr>
        <w:t>Function</w:t>
      </w:r>
      <w:proofErr w:type="spellEnd"/>
      <w:r>
        <w:rPr>
          <w:sz w:val="20"/>
          <w:lang w:eastAsia="sk-SK"/>
        </w:rPr>
        <w:t>“: nastavenie teploty/stupňa výkonu</w:t>
      </w:r>
    </w:p>
    <w:p w:rsidR="00BF6BF2" w:rsidRDefault="00BF6BF2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„ON/OFF“</w:t>
      </w:r>
    </w:p>
    <w:p w:rsidR="00BF6BF2" w:rsidRDefault="00F67C04" w:rsidP="00BF6BF2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Otočný spínač</w:t>
      </w:r>
    </w:p>
    <w:p w:rsidR="00F67C04" w:rsidRPr="00F67C04" w:rsidRDefault="00F67C04" w:rsidP="00F67C04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lastRenderedPageBreak/>
        <w:t>Indukčná dvojplatnička (IKF-D 31 S)</w:t>
      </w: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  <w:r>
        <w:rPr>
          <w:noProof/>
        </w:rPr>
        <w:pict>
          <v:shape id="_x0000_s1035" type="#_x0000_t75" style="position:absolute;left:0;text-align:left;margin-left:18.3pt;margin-top:4.7pt;width:266.45pt;height:173.9pt;z-index:5;visibility:visible;mso-wrap-style:square;mso-position-horizontal-relative:text;mso-position-vertical-relative:text">
            <v:imagedata r:id="rId16" o:title=""/>
            <w10:wrap type="square"/>
          </v:shape>
        </w:pict>
      </w: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Default="00F67C04" w:rsidP="00F67C04">
      <w:pPr>
        <w:spacing w:after="0" w:line="240" w:lineRule="auto"/>
        <w:jc w:val="both"/>
        <w:rPr>
          <w:sz w:val="20"/>
          <w:lang w:eastAsia="sk-SK"/>
        </w:rPr>
      </w:pPr>
    </w:p>
    <w:p w:rsidR="00F67C04" w:rsidRPr="00BF6BF2" w:rsidRDefault="00F67C04" w:rsidP="00F67C04">
      <w:pPr>
        <w:spacing w:after="0" w:line="240" w:lineRule="auto"/>
        <w:ind w:left="284" w:hanging="284"/>
        <w:jc w:val="both"/>
        <w:rPr>
          <w:sz w:val="20"/>
          <w:lang w:eastAsia="sk-SK"/>
        </w:rPr>
      </w:pP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Varné miesto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Displej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funkcie „</w:t>
      </w:r>
      <w:proofErr w:type="spellStart"/>
      <w:r>
        <w:rPr>
          <w:sz w:val="20"/>
          <w:lang w:eastAsia="sk-SK"/>
        </w:rPr>
        <w:t>Timer</w:t>
      </w:r>
      <w:proofErr w:type="spellEnd"/>
      <w:r>
        <w:rPr>
          <w:sz w:val="20"/>
          <w:lang w:eastAsia="sk-SK"/>
        </w:rPr>
        <w:t>“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funkcie „</w:t>
      </w:r>
      <w:proofErr w:type="spellStart"/>
      <w:r>
        <w:rPr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Kontrola prevádzky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Kontrolka nastavenia teploty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funkcie „</w:t>
      </w:r>
      <w:proofErr w:type="spellStart"/>
      <w:r>
        <w:rPr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“: funkcia zablokovania (detská poistka)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funkcie „</w:t>
      </w:r>
      <w:proofErr w:type="spellStart"/>
      <w:r>
        <w:rPr>
          <w:sz w:val="20"/>
          <w:lang w:eastAsia="sk-SK"/>
        </w:rPr>
        <w:t>Timer</w:t>
      </w:r>
      <w:proofErr w:type="spellEnd"/>
      <w:r>
        <w:rPr>
          <w:sz w:val="20"/>
          <w:lang w:eastAsia="sk-SK"/>
        </w:rPr>
        <w:t>“: nastavenie času chodu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„</w:t>
      </w:r>
      <w:proofErr w:type="spellStart"/>
      <w:r>
        <w:rPr>
          <w:sz w:val="20"/>
          <w:lang w:eastAsia="sk-SK"/>
        </w:rPr>
        <w:t>Function</w:t>
      </w:r>
      <w:proofErr w:type="spellEnd"/>
      <w:r>
        <w:rPr>
          <w:sz w:val="20"/>
          <w:lang w:eastAsia="sk-SK"/>
        </w:rPr>
        <w:t>“: nastavenie teploty/stupňa výkonu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Dotykový senzor „ON/OFF“</w:t>
      </w:r>
    </w:p>
    <w:p w:rsidR="00F67C04" w:rsidRDefault="00F67C04" w:rsidP="00F67C04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Otočný spínač</w:t>
      </w:r>
    </w:p>
    <w:p w:rsidR="00F67C04" w:rsidRDefault="00F67C04">
      <w:pPr>
        <w:spacing w:after="0" w:line="240" w:lineRule="auto"/>
        <w:ind w:left="284" w:hanging="284"/>
        <w:jc w:val="both"/>
        <w:rPr>
          <w:sz w:val="20"/>
          <w:lang w:eastAsia="sk-SK"/>
        </w:rPr>
      </w:pPr>
    </w:p>
    <w:p w:rsidR="00F67C04" w:rsidRDefault="00F67C04">
      <w:pPr>
        <w:spacing w:after="0" w:line="240" w:lineRule="auto"/>
        <w:ind w:left="284" w:hanging="284"/>
        <w:jc w:val="both"/>
        <w:rPr>
          <w:b/>
          <w:sz w:val="20"/>
          <w:lang w:eastAsia="sk-SK"/>
        </w:rPr>
      </w:pPr>
      <w:r>
        <w:rPr>
          <w:b/>
          <w:u w:val="single"/>
          <w:lang w:eastAsia="sk-SK"/>
        </w:rPr>
        <w:t>Dôležité upozornenia:</w:t>
      </w:r>
    </w:p>
    <w:p w:rsidR="00F67C04" w:rsidRDefault="00C7001A" w:rsidP="00C7001A">
      <w:pPr>
        <w:spacing w:after="0" w:line="240" w:lineRule="auto"/>
        <w:ind w:left="567" w:hanging="567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Pozor:</w:t>
      </w:r>
      <w:r>
        <w:rPr>
          <w:b/>
          <w:sz w:val="20"/>
          <w:lang w:eastAsia="sk-SK"/>
        </w:rPr>
        <w:tab/>
      </w:r>
      <w:r w:rsidR="00F67C04">
        <w:rPr>
          <w:b/>
          <w:sz w:val="20"/>
          <w:lang w:eastAsia="sk-SK"/>
        </w:rPr>
        <w:t>Indukčná varná platňa funguje iba vtedy, keď je na nej postavený</w:t>
      </w:r>
      <w:r>
        <w:rPr>
          <w:b/>
          <w:sz w:val="20"/>
          <w:lang w:eastAsia="sk-SK"/>
        </w:rPr>
        <w:t xml:space="preserve"> vhodný hrniec alebo panvica.</w:t>
      </w:r>
    </w:p>
    <w:p w:rsidR="00C7001A" w:rsidRDefault="00C7001A" w:rsidP="00C7001A">
      <w:pPr>
        <w:spacing w:after="0" w:line="240" w:lineRule="auto"/>
        <w:ind w:left="567" w:hanging="567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ab/>
        <w:t>Keď na platni nie je postavený hrniec alebo nie je vhodný, spotrebič sa z bezpečnostných dôvodov okamžite vypne.</w:t>
      </w:r>
    </w:p>
    <w:p w:rsidR="00C7001A" w:rsidRDefault="00C7001A" w:rsidP="00C7001A">
      <w:pPr>
        <w:spacing w:after="0" w:line="240" w:lineRule="auto"/>
        <w:ind w:left="567" w:hanging="567"/>
        <w:jc w:val="both"/>
        <w:rPr>
          <w:b/>
          <w:sz w:val="20"/>
          <w:lang w:eastAsia="sk-SK"/>
        </w:rPr>
      </w:pPr>
    </w:p>
    <w:p w:rsidR="00C7001A" w:rsidRPr="00C7001A" w:rsidRDefault="00C7001A" w:rsidP="00C7001A">
      <w:pPr>
        <w:spacing w:after="0" w:line="240" w:lineRule="auto"/>
        <w:ind w:left="567" w:hanging="567"/>
        <w:jc w:val="both"/>
        <w:rPr>
          <w:b/>
          <w:u w:val="single"/>
          <w:lang w:eastAsia="sk-SK"/>
        </w:rPr>
      </w:pPr>
      <w:r>
        <w:rPr>
          <w:b/>
          <w:u w:val="single"/>
          <w:lang w:eastAsia="sk-SK"/>
        </w:rPr>
        <w:t>Uvedenie do prevádzky</w:t>
      </w:r>
    </w:p>
    <w:p w:rsidR="00C7001A" w:rsidRDefault="00C7001A" w:rsidP="00C7001A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Pred</w:t>
      </w:r>
      <w:r w:rsidRPr="00C7001A">
        <w:rPr>
          <w:sz w:val="20"/>
          <w:lang w:eastAsia="sk-SK"/>
        </w:rPr>
        <w:t xml:space="preserve"> prvým uved</w:t>
      </w:r>
      <w:r>
        <w:rPr>
          <w:sz w:val="20"/>
          <w:lang w:eastAsia="sk-SK"/>
        </w:rPr>
        <w:t>ením do prevádzky spotrebič poutierajte vlhkou utierkou a suchou utierkou potom poutierajte do sucha. Spotrebič sa smie zapnúť iba úplne suchý. Rešpektujte pokyny uvedené v bode „Údržba a čistenie“ sklo-keramickej platne.</w:t>
      </w:r>
    </w:p>
    <w:p w:rsidR="00C7001A" w:rsidRDefault="00C7001A" w:rsidP="00C7001A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lastRenderedPageBreak/>
        <w:t>Pozor! Zohriaty hrniec smie stáť iba uprostred varného miesta. Nesmie sa odstaviť tak, že by prekrýval ovládacie pole alebo na okraj.</w:t>
      </w:r>
    </w:p>
    <w:p w:rsidR="00C7001A" w:rsidRDefault="00C7001A" w:rsidP="00C7001A">
      <w:pPr>
        <w:spacing w:after="0" w:line="240" w:lineRule="auto"/>
        <w:jc w:val="both"/>
        <w:rPr>
          <w:sz w:val="20"/>
          <w:lang w:eastAsia="sk-SK"/>
        </w:rPr>
      </w:pPr>
    </w:p>
    <w:p w:rsidR="00C7001A" w:rsidRDefault="00C7001A" w:rsidP="00C7001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Hrniec postavte do stredu varného miesta.</w:t>
      </w:r>
    </w:p>
    <w:p w:rsidR="00C7001A" w:rsidRDefault="00C7001A" w:rsidP="00C7001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Zapojte zástrčku do el. zásuvky. Ozve sa krátky zvukový signál a na displeji sa objaví „</w:t>
      </w:r>
      <w:r w:rsidRPr="00C7001A">
        <w:rPr>
          <w:b/>
          <w:sz w:val="20"/>
          <w:lang w:eastAsia="sk-SK"/>
        </w:rPr>
        <w:t>L</w:t>
      </w:r>
      <w:r>
        <w:rPr>
          <w:sz w:val="20"/>
          <w:lang w:eastAsia="sk-SK"/>
        </w:rPr>
        <w:t>“. Spotrebič je pripravený na použitie.</w:t>
      </w:r>
    </w:p>
    <w:p w:rsidR="00C7001A" w:rsidRDefault="00C7001A" w:rsidP="00C7001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Stlačte tlačidlo „</w:t>
      </w:r>
      <w:r w:rsidRPr="00C7001A">
        <w:rPr>
          <w:b/>
          <w:sz w:val="20"/>
          <w:lang w:eastAsia="sk-SK"/>
        </w:rPr>
        <w:t>ON/OFF</w:t>
      </w:r>
      <w:r>
        <w:rPr>
          <w:sz w:val="20"/>
          <w:lang w:eastAsia="sk-SK"/>
        </w:rPr>
        <w:t>“ (10). Na displeji sa objaví „</w:t>
      </w:r>
      <w:r w:rsidRPr="00C7001A">
        <w:rPr>
          <w:b/>
          <w:sz w:val="20"/>
          <w:lang w:eastAsia="sk-SK"/>
        </w:rPr>
        <w:t>ON</w:t>
      </w:r>
      <w:r>
        <w:rPr>
          <w:sz w:val="20"/>
          <w:lang w:eastAsia="sk-SK"/>
        </w:rPr>
        <w:t>“. Teraz môžete pokračovať nasledovnými nastaveniami:</w:t>
      </w:r>
    </w:p>
    <w:p w:rsidR="00C7001A" w:rsidRDefault="00C7001A" w:rsidP="00C7001A">
      <w:pPr>
        <w:spacing w:after="0" w:line="240" w:lineRule="auto"/>
        <w:jc w:val="both"/>
        <w:rPr>
          <w:sz w:val="20"/>
          <w:lang w:eastAsia="sk-SK"/>
        </w:rPr>
      </w:pPr>
    </w:p>
    <w:p w:rsidR="00C7001A" w:rsidRDefault="00770AD1" w:rsidP="00C7001A">
      <w:pPr>
        <w:spacing w:after="0" w:line="240" w:lineRule="auto"/>
        <w:jc w:val="both"/>
        <w:rPr>
          <w:b/>
          <w:sz w:val="20"/>
          <w:u w:val="single"/>
          <w:lang w:eastAsia="sk-SK"/>
        </w:rPr>
      </w:pPr>
      <w:r>
        <w:rPr>
          <w:b/>
          <w:sz w:val="20"/>
          <w:u w:val="single"/>
          <w:lang w:eastAsia="sk-SK"/>
        </w:rPr>
        <w:t>Dotykový senzor „</w:t>
      </w:r>
      <w:proofErr w:type="spellStart"/>
      <w:r>
        <w:rPr>
          <w:b/>
          <w:sz w:val="20"/>
          <w:u w:val="single"/>
          <w:lang w:eastAsia="sk-SK"/>
        </w:rPr>
        <w:t>Function</w:t>
      </w:r>
      <w:proofErr w:type="spellEnd"/>
      <w:r>
        <w:rPr>
          <w:b/>
          <w:sz w:val="20"/>
          <w:u w:val="single"/>
          <w:lang w:eastAsia="sk-SK"/>
        </w:rPr>
        <w:t>“ (9) – Nastavenie výkonnostného stupňa a teploty:</w:t>
      </w:r>
    </w:p>
    <w:p w:rsidR="00770AD1" w:rsidRDefault="00770AD1" w:rsidP="00C7001A">
      <w:pPr>
        <w:spacing w:after="0" w:line="240" w:lineRule="auto"/>
        <w:jc w:val="both"/>
        <w:rPr>
          <w:b/>
          <w:sz w:val="20"/>
          <w:lang w:eastAsia="sk-SK"/>
        </w:rPr>
      </w:pPr>
    </w:p>
    <w:p w:rsidR="00770AD1" w:rsidRDefault="00770AD1" w:rsidP="00C7001A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Model IKF-E 18 S:</w:t>
      </w:r>
    </w:p>
    <w:p w:rsidR="00770AD1" w:rsidRDefault="00770AD1" w:rsidP="00770AD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Stlačte tlačidlo „</w:t>
      </w:r>
      <w:proofErr w:type="spellStart"/>
      <w:r w:rsidRPr="00770AD1">
        <w:rPr>
          <w:b/>
          <w:sz w:val="20"/>
          <w:lang w:eastAsia="sk-SK"/>
        </w:rPr>
        <w:t>Function</w:t>
      </w:r>
      <w:proofErr w:type="spellEnd"/>
      <w:r>
        <w:rPr>
          <w:sz w:val="20"/>
          <w:lang w:eastAsia="sk-SK"/>
        </w:rPr>
        <w:t>“ (9). Na displeji sa zobrazí štandardné nastavenie „</w:t>
      </w:r>
      <w:r w:rsidRPr="00770AD1">
        <w:rPr>
          <w:b/>
          <w:sz w:val="20"/>
          <w:lang w:eastAsia="sk-SK"/>
        </w:rPr>
        <w:t>1600</w:t>
      </w:r>
      <w:r>
        <w:rPr>
          <w:sz w:val="20"/>
          <w:lang w:eastAsia="sk-SK"/>
        </w:rPr>
        <w:t>“ a rozsvieti sa kontrolka (5).</w:t>
      </w:r>
    </w:p>
    <w:p w:rsidR="00770AD1" w:rsidRPr="00770AD1" w:rsidRDefault="00770AD1" w:rsidP="00770AD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Otáčaním otočného spínača (11) doľava alebo doprava môžete nastaviť požadovaný výkonnostný stupeň: </w:t>
      </w:r>
      <w:r w:rsidRPr="00770AD1">
        <w:rPr>
          <w:b/>
          <w:sz w:val="20"/>
          <w:lang w:eastAsia="sk-SK"/>
        </w:rPr>
        <w:t>200-350-500-650-800-1000-1200-1400-1600-1800 W</w:t>
      </w:r>
    </w:p>
    <w:p w:rsidR="00770AD1" w:rsidRDefault="00770AD1" w:rsidP="00770AD1">
      <w:pPr>
        <w:spacing w:after="0" w:line="240" w:lineRule="auto"/>
        <w:jc w:val="both"/>
        <w:rPr>
          <w:b/>
          <w:sz w:val="20"/>
          <w:lang w:eastAsia="sk-SK"/>
        </w:rPr>
      </w:pPr>
    </w:p>
    <w:p w:rsidR="00770AD1" w:rsidRDefault="00770AD1" w:rsidP="00770AD1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Model IKF-D 31 S:</w:t>
      </w:r>
    </w:p>
    <w:p w:rsidR="00770AD1" w:rsidRDefault="00770AD1" w:rsidP="00770AD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Vyberte požadované varné miesto a stlačte tlačidlo „</w:t>
      </w:r>
      <w:proofErr w:type="spellStart"/>
      <w:r w:rsidRPr="00770AD1">
        <w:rPr>
          <w:b/>
          <w:sz w:val="20"/>
          <w:lang w:eastAsia="sk-SK"/>
        </w:rPr>
        <w:t>Funkction</w:t>
      </w:r>
      <w:proofErr w:type="spellEnd"/>
      <w:r>
        <w:rPr>
          <w:sz w:val="20"/>
          <w:lang w:eastAsia="sk-SK"/>
        </w:rPr>
        <w:t>“ (9). Na displeji ľavého varného miesta sa objaví štandardné nastavenie „</w:t>
      </w:r>
      <w:r w:rsidRPr="00770AD1">
        <w:rPr>
          <w:b/>
          <w:sz w:val="20"/>
          <w:lang w:eastAsia="sk-SK"/>
        </w:rPr>
        <w:t>1600</w:t>
      </w:r>
      <w:r>
        <w:rPr>
          <w:sz w:val="20"/>
          <w:lang w:eastAsia="sk-SK"/>
        </w:rPr>
        <w:t>“ a na displeji pravého varného miesta „</w:t>
      </w:r>
      <w:r w:rsidRPr="00770AD1">
        <w:rPr>
          <w:b/>
          <w:sz w:val="20"/>
          <w:lang w:eastAsia="sk-SK"/>
        </w:rPr>
        <w:t>1200</w:t>
      </w:r>
      <w:r>
        <w:rPr>
          <w:sz w:val="20"/>
          <w:lang w:eastAsia="sk-SK"/>
        </w:rPr>
        <w:t>“ a rozsvieti sa príslušná kontrolka (5).</w:t>
      </w:r>
    </w:p>
    <w:p w:rsidR="00770AD1" w:rsidRDefault="00770AD1" w:rsidP="00770AD1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Otáčaním otočného spínača (11) doľava alebo doprava môžete nastaviť požadovaný výkonnostný stupeň príslušného varného miesta:</w:t>
      </w:r>
    </w:p>
    <w:p w:rsidR="00770AD1" w:rsidRDefault="00770AD1" w:rsidP="00770AD1">
      <w:pPr>
        <w:spacing w:after="0" w:line="240" w:lineRule="auto"/>
        <w:ind w:left="284"/>
        <w:jc w:val="both"/>
        <w:rPr>
          <w:sz w:val="20"/>
          <w:lang w:eastAsia="sk-SK"/>
        </w:rPr>
      </w:pPr>
    </w:p>
    <w:p w:rsidR="00770AD1" w:rsidRPr="00770AD1" w:rsidRDefault="00770AD1" w:rsidP="00770AD1">
      <w:pPr>
        <w:spacing w:after="0" w:line="240" w:lineRule="auto"/>
        <w:ind w:left="708"/>
        <w:jc w:val="both"/>
        <w:rPr>
          <w:b/>
          <w:sz w:val="20"/>
          <w:lang w:eastAsia="sk-SK"/>
        </w:rPr>
      </w:pPr>
      <w:r w:rsidRPr="00770AD1">
        <w:rPr>
          <w:b/>
          <w:sz w:val="20"/>
          <w:lang w:eastAsia="sk-SK"/>
        </w:rPr>
        <w:t>Výkonnostný stupeň (varné miesto vľavo):</w:t>
      </w:r>
    </w:p>
    <w:p w:rsidR="00770AD1" w:rsidRDefault="00770AD1" w:rsidP="00770AD1">
      <w:pPr>
        <w:spacing w:after="0" w:line="240" w:lineRule="auto"/>
        <w:ind w:left="708"/>
        <w:jc w:val="both"/>
        <w:rPr>
          <w:b/>
          <w:sz w:val="20"/>
          <w:lang w:eastAsia="sk-SK"/>
        </w:rPr>
      </w:pPr>
      <w:r w:rsidRPr="00770AD1">
        <w:rPr>
          <w:b/>
          <w:sz w:val="20"/>
          <w:lang w:eastAsia="sk-SK"/>
        </w:rPr>
        <w:t>200-350-500-650-800-1000-1200-1400-1600-1800 W</w:t>
      </w:r>
    </w:p>
    <w:p w:rsidR="00770AD1" w:rsidRDefault="00770AD1" w:rsidP="00770AD1">
      <w:pPr>
        <w:spacing w:after="0" w:line="240" w:lineRule="auto"/>
        <w:ind w:left="708"/>
        <w:jc w:val="both"/>
        <w:rPr>
          <w:b/>
          <w:sz w:val="20"/>
          <w:lang w:eastAsia="sk-SK"/>
        </w:rPr>
      </w:pPr>
    </w:p>
    <w:p w:rsidR="00770AD1" w:rsidRDefault="00770AD1" w:rsidP="00770AD1">
      <w:pPr>
        <w:spacing w:after="0" w:line="240" w:lineRule="auto"/>
        <w:ind w:left="708"/>
        <w:jc w:val="both"/>
        <w:rPr>
          <w:b/>
          <w:sz w:val="20"/>
          <w:lang w:eastAsia="sk-SK"/>
        </w:rPr>
      </w:pPr>
      <w:r w:rsidRPr="00770AD1">
        <w:rPr>
          <w:b/>
          <w:sz w:val="20"/>
          <w:lang w:eastAsia="sk-SK"/>
        </w:rPr>
        <w:t>Výkonnostný stupeň (varné miesto</w:t>
      </w:r>
      <w:r>
        <w:rPr>
          <w:b/>
          <w:sz w:val="20"/>
          <w:lang w:eastAsia="sk-SK"/>
        </w:rPr>
        <w:t xml:space="preserve"> vpravo):</w:t>
      </w:r>
    </w:p>
    <w:p w:rsidR="00770AD1" w:rsidRDefault="00770AD1" w:rsidP="00770AD1">
      <w:pPr>
        <w:spacing w:after="0" w:line="240" w:lineRule="auto"/>
        <w:ind w:left="708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200-350-500-650-800-900-1000-1100-1200-1300 W</w:t>
      </w:r>
    </w:p>
    <w:p w:rsidR="00770AD1" w:rsidRDefault="00770AD1" w:rsidP="00770AD1">
      <w:pPr>
        <w:spacing w:after="0" w:line="240" w:lineRule="auto"/>
        <w:ind w:left="284"/>
        <w:jc w:val="both"/>
        <w:rPr>
          <w:sz w:val="20"/>
          <w:lang w:eastAsia="sk-SK"/>
        </w:rPr>
      </w:pPr>
    </w:p>
    <w:p w:rsidR="00770AD1" w:rsidRDefault="00770AD1" w:rsidP="00770AD1">
      <w:pPr>
        <w:spacing w:after="0" w:line="240" w:lineRule="auto"/>
        <w:jc w:val="both"/>
        <w:rPr>
          <w:sz w:val="20"/>
          <w:lang w:eastAsia="sk-SK"/>
        </w:rPr>
      </w:pPr>
      <w:r w:rsidRPr="00770AD1">
        <w:rPr>
          <w:b/>
          <w:sz w:val="20"/>
          <w:lang w:eastAsia="sk-SK"/>
        </w:rPr>
        <w:t>Nastavenie teploty</w:t>
      </w:r>
      <w:r>
        <w:rPr>
          <w:sz w:val="20"/>
          <w:lang w:eastAsia="sk-SK"/>
        </w:rPr>
        <w:t xml:space="preserve"> (model IKF-E 18 S/IKF-D 31 S):</w:t>
      </w:r>
    </w:p>
    <w:p w:rsidR="00770AD1" w:rsidRDefault="00770AD1" w:rsidP="00770AD1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Ešte raz stlačte tlačidlo „</w:t>
      </w:r>
      <w:proofErr w:type="spellStart"/>
      <w:r w:rsidRPr="00770AD1">
        <w:rPr>
          <w:b/>
          <w:sz w:val="20"/>
          <w:lang w:eastAsia="sk-SK"/>
        </w:rPr>
        <w:t>Function</w:t>
      </w:r>
      <w:proofErr w:type="spellEnd"/>
      <w:r>
        <w:rPr>
          <w:sz w:val="20"/>
          <w:lang w:eastAsia="sk-SK"/>
        </w:rPr>
        <w:t>“ (9), dostanete sa do režimu nastavenia teploty. Na displeji svieti štandardné nastavenie „</w:t>
      </w:r>
      <w:r w:rsidRPr="00770AD1">
        <w:rPr>
          <w:b/>
          <w:sz w:val="20"/>
          <w:lang w:eastAsia="sk-SK"/>
        </w:rPr>
        <w:t>240</w:t>
      </w:r>
      <w:r>
        <w:rPr>
          <w:sz w:val="20"/>
          <w:lang w:eastAsia="sk-SK"/>
        </w:rPr>
        <w:t>“ a svieti príslušná kontrolka (6)</w:t>
      </w:r>
    </w:p>
    <w:p w:rsidR="00770AD1" w:rsidRPr="00AA682B" w:rsidRDefault="00770AD1" w:rsidP="00770AD1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Otáčaním otočného spínača (11) doľava alebo doprava môžete nastaviť požadovanú teplotu: </w:t>
      </w:r>
      <w:r>
        <w:rPr>
          <w:b/>
          <w:sz w:val="20"/>
          <w:lang w:eastAsia="sk-SK"/>
        </w:rPr>
        <w:t>60-80-100-120-140-160-180-200-220-240 °C</w:t>
      </w:r>
    </w:p>
    <w:p w:rsidR="00AA682B" w:rsidRDefault="00AA682B" w:rsidP="00AA682B">
      <w:pPr>
        <w:spacing w:after="0" w:line="240" w:lineRule="auto"/>
        <w:jc w:val="both"/>
        <w:rPr>
          <w:b/>
          <w:sz w:val="20"/>
          <w:lang w:eastAsia="sk-SK"/>
        </w:rPr>
      </w:pPr>
    </w:p>
    <w:p w:rsidR="00AA682B" w:rsidRDefault="00AA682B" w:rsidP="00AA682B">
      <w:pPr>
        <w:spacing w:after="0" w:line="240" w:lineRule="auto"/>
        <w:jc w:val="both"/>
        <w:rPr>
          <w:sz w:val="20"/>
          <w:lang w:eastAsia="sk-SK"/>
        </w:rPr>
      </w:pPr>
      <w:r w:rsidRPr="00AA682B">
        <w:rPr>
          <w:b/>
          <w:sz w:val="20"/>
          <w:lang w:eastAsia="sk-SK"/>
        </w:rPr>
        <w:t>Dotykový senzor „</w:t>
      </w:r>
      <w:proofErr w:type="spellStart"/>
      <w:r w:rsidRPr="00AA682B">
        <w:rPr>
          <w:b/>
          <w:sz w:val="20"/>
          <w:lang w:eastAsia="sk-SK"/>
        </w:rPr>
        <w:t>Timer</w:t>
      </w:r>
      <w:proofErr w:type="spellEnd"/>
      <w:r w:rsidRPr="00AA682B">
        <w:rPr>
          <w:b/>
          <w:sz w:val="20"/>
          <w:lang w:eastAsia="sk-SK"/>
        </w:rPr>
        <w:t>“</w:t>
      </w:r>
      <w:r>
        <w:rPr>
          <w:sz w:val="20"/>
          <w:lang w:eastAsia="sk-SK"/>
        </w:rPr>
        <w:t xml:space="preserve"> (model IKF-E 18 S/IKF-D 31 S):</w:t>
      </w:r>
    </w:p>
    <w:p w:rsidR="00AA682B" w:rsidRDefault="00AA682B" w:rsidP="00AA682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Stlačte tlačidlo „</w:t>
      </w:r>
      <w:proofErr w:type="spellStart"/>
      <w:r w:rsidRPr="00AA682B">
        <w:rPr>
          <w:b/>
          <w:sz w:val="20"/>
          <w:lang w:eastAsia="sk-SK"/>
        </w:rPr>
        <w:t>Function</w:t>
      </w:r>
      <w:proofErr w:type="spellEnd"/>
      <w:r>
        <w:rPr>
          <w:sz w:val="20"/>
          <w:lang w:eastAsia="sk-SK"/>
        </w:rPr>
        <w:t>“ (9) a nastavte požadovaný varný stupeň a teplotu.</w:t>
      </w:r>
    </w:p>
    <w:p w:rsidR="00AA682B" w:rsidRDefault="00AA682B" w:rsidP="00AA682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>Stlačte tlačidlo „</w:t>
      </w:r>
      <w:proofErr w:type="spellStart"/>
      <w:r w:rsidRPr="00AA682B">
        <w:rPr>
          <w:b/>
          <w:sz w:val="20"/>
          <w:lang w:eastAsia="sk-SK"/>
        </w:rPr>
        <w:t>Timer</w:t>
      </w:r>
      <w:proofErr w:type="spellEnd"/>
      <w:r>
        <w:rPr>
          <w:sz w:val="20"/>
          <w:lang w:eastAsia="sk-SK"/>
        </w:rPr>
        <w:t>“ (8). Na displeji sa rozsvieti štandardné nastavenie „</w:t>
      </w:r>
      <w:r w:rsidRPr="00AA682B">
        <w:rPr>
          <w:b/>
          <w:sz w:val="20"/>
          <w:lang w:eastAsia="sk-SK"/>
        </w:rPr>
        <w:t>0:00</w:t>
      </w:r>
      <w:r>
        <w:rPr>
          <w:sz w:val="20"/>
          <w:lang w:eastAsia="sk-SK"/>
        </w:rPr>
        <w:t>“ a rozsvieti sa príslušná kontrolka (3).</w:t>
      </w:r>
    </w:p>
    <w:p w:rsidR="00AA682B" w:rsidRDefault="00AA682B" w:rsidP="00AA682B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Otáčaním otočného spínača (11) doľava alebo doprava môžete nastaviť požadovaný čas prevádzky od 1 do 180 minút.</w:t>
      </w:r>
    </w:p>
    <w:p w:rsidR="00AA682B" w:rsidRDefault="00AA682B" w:rsidP="00AA682B">
      <w:pPr>
        <w:spacing w:after="0" w:line="240" w:lineRule="auto"/>
        <w:ind w:left="284"/>
        <w:jc w:val="both"/>
        <w:rPr>
          <w:sz w:val="20"/>
          <w:lang w:eastAsia="sk-SK"/>
        </w:rPr>
      </w:pPr>
      <w:r w:rsidRPr="00AA682B">
        <w:rPr>
          <w:b/>
          <w:sz w:val="20"/>
          <w:lang w:eastAsia="sk-SK"/>
        </w:rPr>
        <w:t>Upozornenie</w:t>
      </w:r>
      <w:r>
        <w:rPr>
          <w:sz w:val="20"/>
          <w:lang w:eastAsia="sk-SK"/>
        </w:rPr>
        <w:t>: Displej ukazuje striedavo aktuálne uplynutý čas a naposledy nastavenú teplotu.</w:t>
      </w:r>
    </w:p>
    <w:p w:rsidR="00AA682B" w:rsidRDefault="00AA682B" w:rsidP="00AA682B">
      <w:pPr>
        <w:spacing w:after="0" w:line="240" w:lineRule="auto"/>
        <w:ind w:left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 uplynutí času sa zvolené varné miesto vypne. Spotrebič zostáva naďalej v prevádzkovom stave.</w:t>
      </w:r>
    </w:p>
    <w:p w:rsidR="00AA682B" w:rsidRDefault="00AA682B" w:rsidP="00AA682B">
      <w:pPr>
        <w:spacing w:after="0" w:line="240" w:lineRule="auto"/>
        <w:jc w:val="both"/>
        <w:rPr>
          <w:sz w:val="20"/>
          <w:lang w:eastAsia="sk-SK"/>
        </w:rPr>
      </w:pPr>
    </w:p>
    <w:p w:rsidR="00AA682B" w:rsidRDefault="00AA682B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Funkcia rozpoznania hrnca</w:t>
      </w:r>
      <w:r>
        <w:rPr>
          <w:sz w:val="20"/>
          <w:lang w:eastAsia="sk-SK"/>
        </w:rPr>
        <w:t xml:space="preserve"> (model IKF-E 18 S/IKF-D 31 S):</w:t>
      </w:r>
    </w:p>
    <w:p w:rsidR="00AA682B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Funkcia rozpoznania hrnca sa aktivuje po aktivovaní varného miesta.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Keď počas varenia zoberiete hrniec z varného miesta, ozve sa zvuková signalizácia, na displeji sa objaví „</w:t>
      </w:r>
      <w:r w:rsidRPr="006E7DC3">
        <w:rPr>
          <w:b/>
          <w:sz w:val="20"/>
          <w:lang w:eastAsia="sk-SK"/>
        </w:rPr>
        <w:t>E0</w:t>
      </w:r>
      <w:r>
        <w:rPr>
          <w:sz w:val="20"/>
          <w:lang w:eastAsia="sk-SK"/>
        </w:rPr>
        <w:t>“ a kontrolka začne blikať. Ak do niekoľkých sekúnd postavíte hrniec späť, zvolené nastavenie beží ďalej. Ak prekročíte časový limit, spotrebič sa prepne do režimu „</w:t>
      </w:r>
      <w:proofErr w:type="spellStart"/>
      <w:r>
        <w:rPr>
          <w:sz w:val="20"/>
          <w:lang w:eastAsia="sk-SK"/>
        </w:rPr>
        <w:t>Standby</w:t>
      </w:r>
      <w:proofErr w:type="spellEnd"/>
      <w:r>
        <w:rPr>
          <w:sz w:val="20"/>
          <w:lang w:eastAsia="sk-SK"/>
        </w:rPr>
        <w:t>“.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 xml:space="preserve">Detská poistka / funkcia zablokovania </w:t>
      </w:r>
      <w:r>
        <w:rPr>
          <w:sz w:val="20"/>
          <w:lang w:eastAsia="sk-SK"/>
        </w:rPr>
        <w:t>(model IKF-E 18 S/IKF-D 31 S):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Po zapnutí ovládania môžete túto funkciu aktivovať. Stlačte tlačidlo „</w:t>
      </w:r>
      <w:proofErr w:type="spellStart"/>
      <w:r w:rsidRPr="006E7DC3">
        <w:rPr>
          <w:b/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 (7). Rozsvieti sa príslušná kontrolka (4). Elektronika zostane zablokovaná a nie je možné zadať žiadnu funkciu, kým blokovanie zase nezrušíte. Na vypnutie blokovacej funkcie stlačte tlačidlo „</w:t>
      </w:r>
      <w:proofErr w:type="spellStart"/>
      <w:r w:rsidRPr="006E7DC3">
        <w:rPr>
          <w:b/>
          <w:sz w:val="20"/>
          <w:lang w:eastAsia="sk-SK"/>
        </w:rPr>
        <w:t>Lock</w:t>
      </w:r>
      <w:proofErr w:type="spellEnd"/>
      <w:r>
        <w:rPr>
          <w:sz w:val="20"/>
          <w:lang w:eastAsia="sk-SK"/>
        </w:rPr>
        <w:t>“ (7) a držte kým zhasne príslušná kontrolka (4). Funkcia zablokovania je vypnutá.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</w:p>
    <w:p w:rsidR="006E7DC3" w:rsidRDefault="006E7DC3" w:rsidP="00AA682B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Upozornenie k modelu IKF-D 31 S: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Funkciu zablokovania možno aktivovať iba pre momentálne zvolené varné miesto.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 xml:space="preserve">Ochrana pred prehriatím </w:t>
      </w:r>
      <w:r>
        <w:rPr>
          <w:sz w:val="20"/>
          <w:lang w:eastAsia="sk-SK"/>
        </w:rPr>
        <w:t>(model IKF-E 18 S/IKF-D 31 S):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Indukčná varná platňa je vybavená ochranou pred prehriatím. Keď hrozí prehriatie varnej platne (napr. hrniec je prázdny), ozve sa neprerušovaný zvukový signál a funkcia varenia sa po niekoľkých minútach automaticky vypne.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Ventilátor</w:t>
      </w:r>
      <w:r>
        <w:rPr>
          <w:sz w:val="20"/>
          <w:lang w:eastAsia="sk-SK"/>
        </w:rPr>
        <w:t xml:space="preserve"> (model IKF-E 18 S/IKF-D 31 S):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Po zvolení varného miesta sa zapne ventilátor, ktorý chladí súčiastky vo vnútri spotrebiča a chráni ho pred prehriatím. Dobiehanie ventilátoru po vypnutí spotrebiča a po dlhšej dobe prevádzky je normálne.</w:t>
      </w: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</w:p>
    <w:p w:rsidR="006E7DC3" w:rsidRDefault="006E7DC3" w:rsidP="00AA682B">
      <w:pPr>
        <w:spacing w:after="0" w:line="240" w:lineRule="auto"/>
        <w:jc w:val="both"/>
        <w:rPr>
          <w:sz w:val="20"/>
          <w:lang w:eastAsia="sk-SK"/>
        </w:rPr>
      </w:pPr>
      <w:r>
        <w:rPr>
          <w:b/>
          <w:lang w:eastAsia="sk-SK"/>
        </w:rPr>
        <w:t>Vypnutie spotrebiča</w:t>
      </w:r>
    </w:p>
    <w:p w:rsidR="006E7DC3" w:rsidRDefault="006E7DC3" w:rsidP="006E7DC3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Stlačte tlačidlo „</w:t>
      </w:r>
      <w:r w:rsidRPr="006E7DC3">
        <w:rPr>
          <w:b/>
          <w:sz w:val="20"/>
          <w:lang w:eastAsia="sk-SK"/>
        </w:rPr>
        <w:t>ON/OFF</w:t>
      </w:r>
      <w:r>
        <w:rPr>
          <w:sz w:val="20"/>
          <w:lang w:eastAsia="sk-SK"/>
        </w:rPr>
        <w:t>“ (10). Na displeji sa objaví „</w:t>
      </w:r>
      <w:r w:rsidRPr="006E7DC3">
        <w:rPr>
          <w:b/>
          <w:sz w:val="20"/>
          <w:lang w:eastAsia="sk-SK"/>
        </w:rPr>
        <w:t>H</w:t>
      </w:r>
      <w:r>
        <w:rPr>
          <w:sz w:val="20"/>
          <w:lang w:eastAsia="sk-SK"/>
        </w:rPr>
        <w:t xml:space="preserve">“, keď je teplota </w:t>
      </w:r>
      <w:r w:rsidRPr="006E7DC3">
        <w:rPr>
          <w:color w:val="FF0000"/>
          <w:sz w:val="20"/>
          <w:lang w:eastAsia="sk-SK"/>
        </w:rPr>
        <w:t>nižšia</w:t>
      </w:r>
      <w:r>
        <w:rPr>
          <w:sz w:val="20"/>
          <w:lang w:eastAsia="sk-SK"/>
        </w:rPr>
        <w:t xml:space="preserve"> ako 60°C.</w:t>
      </w:r>
    </w:p>
    <w:p w:rsidR="00BE506F" w:rsidRDefault="00BE506F" w:rsidP="00BE506F">
      <w:pPr>
        <w:spacing w:after="0" w:line="240" w:lineRule="auto"/>
        <w:ind w:left="284"/>
        <w:jc w:val="both"/>
        <w:rPr>
          <w:sz w:val="20"/>
          <w:lang w:eastAsia="sk-SK"/>
        </w:rPr>
      </w:pPr>
      <w:r>
        <w:rPr>
          <w:sz w:val="20"/>
          <w:lang w:eastAsia="sk-SK"/>
        </w:rPr>
        <w:lastRenderedPageBreak/>
        <w:t>Spotrebič ukončí nastavené funkcie. Ventilátor môže ešte chvíľu bežať, kým sa vypne. Spotrebič je ešte stále v prevádzkovom stave.</w:t>
      </w:r>
    </w:p>
    <w:p w:rsidR="006E7DC3" w:rsidRDefault="00BE506F" w:rsidP="006E7DC3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Vytiahnite zástrčku z el. zásuvky.</w:t>
      </w:r>
    </w:p>
    <w:p w:rsidR="00BE506F" w:rsidRDefault="00BE506F" w:rsidP="00BE506F">
      <w:pPr>
        <w:spacing w:after="0" w:line="240" w:lineRule="auto"/>
        <w:jc w:val="both"/>
        <w:rPr>
          <w:sz w:val="20"/>
          <w:lang w:eastAsia="sk-SK"/>
        </w:rPr>
      </w:pPr>
    </w:p>
    <w:p w:rsidR="00BE506F" w:rsidRDefault="00BE506F" w:rsidP="00BE506F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POZOR: Spotrebič je vypnutý a odpojený od siete až po vytiahnutí zástrčky z el. zásuvky. Keď prístroj nepoužívate, vždy vytiahnite zástrčku z el. zásuvky.</w:t>
      </w:r>
    </w:p>
    <w:p w:rsidR="00BE506F" w:rsidRDefault="00BE506F" w:rsidP="00BE506F">
      <w:pPr>
        <w:spacing w:after="0" w:line="240" w:lineRule="auto"/>
        <w:jc w:val="both"/>
        <w:rPr>
          <w:b/>
          <w:sz w:val="20"/>
          <w:lang w:eastAsia="sk-SK"/>
        </w:rPr>
      </w:pPr>
    </w:p>
    <w:p w:rsidR="00BE506F" w:rsidRDefault="00BE506F" w:rsidP="00BE506F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u w:val="single"/>
          <w:lang w:eastAsia="sk-SK"/>
        </w:rPr>
        <w:t>Čistenie a údržba</w:t>
      </w:r>
    </w:p>
    <w:p w:rsidR="00BE506F" w:rsidRDefault="00BE506F" w:rsidP="00BE506F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Pozor! Pred čistením, údržbou alebo opravou treba prístroj bezpodmienečne odpojiť od siete.</w:t>
      </w:r>
    </w:p>
    <w:p w:rsidR="00BE506F" w:rsidRDefault="00BE506F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Oblasť ovládačov „</w:t>
      </w:r>
      <w:proofErr w:type="spellStart"/>
      <w:r>
        <w:rPr>
          <w:sz w:val="20"/>
          <w:lang w:eastAsia="sk-SK"/>
        </w:rPr>
        <w:t>Touch-Control</w:t>
      </w:r>
      <w:proofErr w:type="spellEnd"/>
      <w:r>
        <w:rPr>
          <w:sz w:val="20"/>
          <w:lang w:eastAsia="sk-SK"/>
        </w:rPr>
        <w:t>“ varných miest udržiavajte voľnú, čistú a suchú.</w:t>
      </w:r>
    </w:p>
    <w:p w:rsidR="00BE506F" w:rsidRPr="00BE506F" w:rsidRDefault="00BE506F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b/>
          <w:sz w:val="20"/>
          <w:lang w:eastAsia="sk-SK"/>
        </w:rPr>
        <w:t>Spotrebič vypnite, vytiahnite zástrčku z el. zásuvky a nechajte ho vychladnúť.</w:t>
      </w:r>
    </w:p>
    <w:p w:rsidR="00BE506F" w:rsidRDefault="00BE506F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Spotrebič čistite pravidelne.</w:t>
      </w:r>
    </w:p>
    <w:p w:rsidR="00BE506F" w:rsidRDefault="00BE506F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 použití vždy vyčistite vykypené zvyšky jedla (tuk alebo olej) vlhkou utierkou a utrite dosucha.</w:t>
      </w:r>
    </w:p>
    <w:p w:rsidR="00BE506F" w:rsidRDefault="00BE506F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Nepoužívajte </w:t>
      </w:r>
      <w:r w:rsidR="00CE4A6C">
        <w:rPr>
          <w:sz w:val="20"/>
          <w:lang w:eastAsia="sk-SK"/>
        </w:rPr>
        <w:t>suché, abrazívne ani žieravé čistiace prostriedky, ktoré by mohli poškodiť alebo poškriabať sklo-keramický povrch alebo kryt prístroja!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Nepoužívajte na čistenie parné čističe!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Nepoužívajte drôtenky, práškové čističe alebo korodujúce čistiace spreje.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Silné znečistenie alebo zvyšky tukov môžete vyčistiť špeciálnym čističom na sklo-keramické povrchy. Pripálené nečistoty odstráňte špeciálnou škrabkou na sklo-keramické povrchy.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Pozor, so sklo-keramickým povrchom môže prísť do kontaktu iba čepeľ škrabky. Držadlo škrabky by mohlo sklo poškriabať. Používajte iba nepoškodenú čepeľ!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Roztopené kúsky plastu, cukru alebo potravín obsahujúcich cukor treba okamžite odstrániť škrabkou na sklo-keramické povrchy.</w:t>
      </w:r>
    </w:p>
    <w:p w:rsidR="00CE4A6C" w:rsidRDefault="00CE4A6C" w:rsidP="00CE4A6C">
      <w:pPr>
        <w:spacing w:after="0" w:line="240" w:lineRule="auto"/>
        <w:ind w:left="284"/>
        <w:jc w:val="both"/>
        <w:rPr>
          <w:sz w:val="20"/>
          <w:lang w:eastAsia="sk-SK"/>
        </w:rPr>
      </w:pPr>
      <w:r w:rsidRPr="00CE4A6C">
        <w:rPr>
          <w:b/>
          <w:sz w:val="20"/>
          <w:lang w:eastAsia="sk-SK"/>
        </w:rPr>
        <w:t>Pozor!</w:t>
      </w:r>
      <w:r>
        <w:rPr>
          <w:sz w:val="20"/>
          <w:lang w:eastAsia="sk-SK"/>
        </w:rPr>
        <w:t xml:space="preserve"> Pri používaní škrabky na sklo buďte opatrní! O čepeľ škrabky sa môžete poraniť!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 xml:space="preserve">Spotrebič, prívodný kábel ani zástrčka sa nesmú ponárať do vody ani iných kvapalín. </w:t>
      </w:r>
      <w:r w:rsidRPr="00CE4A6C">
        <w:rPr>
          <w:b/>
          <w:sz w:val="20"/>
          <w:lang w:eastAsia="sk-SK"/>
        </w:rPr>
        <w:t>Hrozí zásah elektrickým prúdom!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Na povrch nepokladajte mokré hrnce ani cukor alebo soľ.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Varné miesta a dno hrncov treba udržiavať čisté. Znečistenie spôsobuje poruchy prenosu tepla a môžu poškodiť varné miesto.</w:t>
      </w:r>
    </w:p>
    <w:p w:rsidR="00CE4A6C" w:rsidRDefault="00CE4A6C" w:rsidP="00BE506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sz w:val="20"/>
          <w:lang w:eastAsia="sk-SK"/>
        </w:rPr>
      </w:pPr>
      <w:r>
        <w:rPr>
          <w:sz w:val="20"/>
          <w:lang w:eastAsia="sk-SK"/>
        </w:rPr>
        <w:t>Vetracie / ventilačné otvory udržiavajte bez prachu a chlpov.</w:t>
      </w:r>
    </w:p>
    <w:p w:rsidR="00CE4A6C" w:rsidRDefault="00CE4A6C" w:rsidP="00CE4A6C">
      <w:pPr>
        <w:spacing w:after="0" w:line="240" w:lineRule="auto"/>
        <w:jc w:val="both"/>
        <w:rPr>
          <w:sz w:val="20"/>
          <w:lang w:eastAsia="sk-SK"/>
        </w:rPr>
      </w:pPr>
    </w:p>
    <w:p w:rsidR="00CE4A6C" w:rsidRDefault="00CE4A6C" w:rsidP="00CE4A6C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br w:type="page"/>
      </w:r>
      <w:r>
        <w:rPr>
          <w:b/>
          <w:u w:val="single"/>
          <w:lang w:eastAsia="sk-SK"/>
        </w:rPr>
        <w:lastRenderedPageBreak/>
        <w:t>Chybové kódy / problémy a ich riešenie:</w:t>
      </w:r>
    </w:p>
    <w:p w:rsidR="00CE4A6C" w:rsidRPr="00A7143A" w:rsidRDefault="00CE4A6C" w:rsidP="00CE4A6C">
      <w:pPr>
        <w:spacing w:after="0" w:line="240" w:lineRule="auto"/>
        <w:jc w:val="both"/>
        <w:rPr>
          <w:b/>
          <w:sz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3297"/>
      </w:tblGrid>
      <w:tr w:rsidR="00CE4A6C" w:rsidRPr="005B31AB" w:rsidTr="005B31AB">
        <w:tc>
          <w:tcPr>
            <w:tcW w:w="959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Chybový kód</w:t>
            </w:r>
          </w:p>
        </w:tc>
        <w:tc>
          <w:tcPr>
            <w:tcW w:w="2835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Problém</w:t>
            </w:r>
          </w:p>
          <w:p w:rsidR="00A7143A" w:rsidRPr="005B31AB" w:rsidRDefault="00A7143A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Možná príčina</w:t>
            </w:r>
          </w:p>
        </w:tc>
        <w:tc>
          <w:tcPr>
            <w:tcW w:w="3297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Riešenie</w:t>
            </w:r>
          </w:p>
        </w:tc>
      </w:tr>
      <w:tr w:rsidR="00CE4A6C" w:rsidRPr="005B31AB" w:rsidTr="005B31AB">
        <w:tc>
          <w:tcPr>
            <w:tcW w:w="959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E0</w:t>
            </w:r>
          </w:p>
        </w:tc>
        <w:tc>
          <w:tcPr>
            <w:tcW w:w="2835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Varné miesto nefunguje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Na varnom mieste nie je hrniec/panvica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Nevhodný riad</w:t>
            </w:r>
          </w:p>
        </w:tc>
        <w:tc>
          <w:tcPr>
            <w:tcW w:w="3297" w:type="dxa"/>
            <w:shd w:val="clear" w:color="auto" w:fill="auto"/>
          </w:tcPr>
          <w:p w:rsidR="00CE4A6C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Používajte iba riad/panvice vhodné na indukčné varné platne</w:t>
            </w: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E1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Chyba elektroniky</w:t>
            </w:r>
          </w:p>
        </w:tc>
        <w:tc>
          <w:tcPr>
            <w:tcW w:w="3297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Kontaktuje zákaznícky servis a nechajte spotrebič skontrolovať</w:t>
            </w: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E2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Porucha senzoru teploty</w:t>
            </w:r>
          </w:p>
        </w:tc>
        <w:tc>
          <w:tcPr>
            <w:tcW w:w="3297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Kontaktuje zákaznícky servis a nechajte spotrebič skontrolovať</w:t>
            </w: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E3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Prepätie (príliš vysoké napätie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 elektronickom spínacom obvode došlo k poruche z dôvodu príliš vysokého napätia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 xml:space="preserve">Skontrolujte, či je prístroj zapojený na korektné napätie podľa typového štítku. 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Vytiahnite zástrčku z el. zásuvky, počkajte cca 2 minúty a zástrčku opäť zapojte do el. zásuvky.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Ak porucha pretrváva, kontaktujte zákaznícky servis.</w:t>
            </w: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E4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Podpätie (príliš nízke napätie)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 elektronickom spínacom obvode došlo k poruche z dôvodu príliš nízkeho napätia</w:t>
            </w:r>
          </w:p>
        </w:tc>
        <w:tc>
          <w:tcPr>
            <w:tcW w:w="3297" w:type="dxa"/>
            <w:vMerge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E5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Ochrana pred prehriatím / možné prekročenie teploty varného miesta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Hrniec/panvica sú prázdne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Hrniec/panvica majú privysokú teplotu</w:t>
            </w:r>
          </w:p>
        </w:tc>
        <w:tc>
          <w:tcPr>
            <w:tcW w:w="3297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 xml:space="preserve">Počkajte niekoľko minút a nechajte varné miesto/riad vychladnúť. 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Pokiaľ sa porucha zopakuje, skontrolujte riad alebo kontaktujte zákaznícky servis.</w:t>
            </w:r>
          </w:p>
        </w:tc>
      </w:tr>
      <w:tr w:rsidR="00A7143A" w:rsidRPr="005B31AB" w:rsidTr="005B31AB">
        <w:tc>
          <w:tcPr>
            <w:tcW w:w="959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E6</w:t>
            </w:r>
          </w:p>
        </w:tc>
        <w:tc>
          <w:tcPr>
            <w:tcW w:w="2835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Teplota vo vnútri spotrebiča je príliš vysoká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Porucha ventilátora</w:t>
            </w:r>
          </w:p>
        </w:tc>
        <w:tc>
          <w:tcPr>
            <w:tcW w:w="3297" w:type="dxa"/>
            <w:shd w:val="clear" w:color="auto" w:fill="auto"/>
          </w:tcPr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Skontrolujte, či nie sú zablokované ventilačné otvory a vyčistite ich (viď kapitola „Údržba a čistenie“.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Spotrebič znova zapnite.</w:t>
            </w:r>
          </w:p>
          <w:p w:rsidR="00A7143A" w:rsidRPr="005B31AB" w:rsidRDefault="00A7143A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Pokiaľ sa porucha zopakuje, kontaktujte zákaznícky servis.</w:t>
            </w:r>
          </w:p>
        </w:tc>
      </w:tr>
    </w:tbl>
    <w:p w:rsidR="00CE4A6C" w:rsidRDefault="00CE4A6C" w:rsidP="00CE4A6C">
      <w:pPr>
        <w:spacing w:after="0" w:line="240" w:lineRule="auto"/>
        <w:jc w:val="both"/>
        <w:rPr>
          <w:sz w:val="20"/>
          <w:lang w:eastAsia="sk-SK"/>
        </w:rPr>
      </w:pPr>
    </w:p>
    <w:p w:rsidR="00A7143A" w:rsidRDefault="00A7143A" w:rsidP="00CE4A6C">
      <w:pPr>
        <w:spacing w:after="0" w:line="240" w:lineRule="auto"/>
        <w:jc w:val="both"/>
        <w:rPr>
          <w:b/>
          <w:lang w:eastAsia="sk-SK"/>
        </w:rPr>
      </w:pPr>
      <w:r>
        <w:rPr>
          <w:sz w:val="20"/>
          <w:lang w:eastAsia="sk-SK"/>
        </w:rPr>
        <w:br w:type="page"/>
      </w:r>
      <w:r w:rsidR="000A6498">
        <w:rPr>
          <w:b/>
          <w:lang w:eastAsia="sk-SK"/>
        </w:rPr>
        <w:lastRenderedPageBreak/>
        <w:t>Technické údaje / informácie o výrobku</w:t>
      </w:r>
    </w:p>
    <w:p w:rsidR="000A6498" w:rsidRDefault="000A6498" w:rsidP="00CE4A6C">
      <w:pPr>
        <w:spacing w:after="0" w:line="240" w:lineRule="auto"/>
        <w:jc w:val="both"/>
        <w:rPr>
          <w:sz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45"/>
        <w:gridCol w:w="1773"/>
        <w:gridCol w:w="1773"/>
      </w:tblGrid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Merná jednotka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 xml:space="preserve">Indukčná </w:t>
            </w:r>
            <w:proofErr w:type="spellStart"/>
            <w:r w:rsidRPr="005B31AB">
              <w:rPr>
                <w:b/>
                <w:sz w:val="20"/>
                <w:lang w:eastAsia="sk-SK"/>
              </w:rPr>
              <w:t>jednoplatnička</w:t>
            </w:r>
            <w:proofErr w:type="spellEnd"/>
          </w:p>
          <w:p w:rsidR="000A6498" w:rsidRPr="005B31AB" w:rsidRDefault="000A6498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IKF-E 18 S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Indukčná dvojplatnička</w:t>
            </w:r>
          </w:p>
          <w:p w:rsidR="000A6498" w:rsidRPr="005B31AB" w:rsidRDefault="000A6498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IKF-D 31 S</w:t>
            </w:r>
          </w:p>
        </w:tc>
      </w:tr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Šírka</w:t>
            </w: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mm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280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580</w:t>
            </w:r>
          </w:p>
        </w:tc>
      </w:tr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Hĺbka</w:t>
            </w: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mm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340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340</w:t>
            </w:r>
          </w:p>
        </w:tc>
      </w:tr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Výška</w:t>
            </w: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mm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73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73</w:t>
            </w:r>
          </w:p>
        </w:tc>
      </w:tr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Celkový výkon</w:t>
            </w: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Watt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1800 W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3100 W</w:t>
            </w:r>
          </w:p>
        </w:tc>
      </w:tr>
      <w:tr w:rsidR="005B31AB" w:rsidRPr="005B31AB" w:rsidTr="005B31AB">
        <w:tc>
          <w:tcPr>
            <w:tcW w:w="1951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Napätie/frekvencia</w:t>
            </w:r>
          </w:p>
        </w:tc>
        <w:tc>
          <w:tcPr>
            <w:tcW w:w="1645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Volt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 xml:space="preserve">220-240 V  </w:t>
            </w:r>
            <w:r w:rsidRPr="005B31AB">
              <w:rPr>
                <w:rFonts w:cs="Calibri"/>
                <w:sz w:val="20"/>
                <w:lang w:eastAsia="sk-SK"/>
              </w:rPr>
              <w:t>~</w:t>
            </w:r>
            <w:r w:rsidRPr="005B31AB">
              <w:rPr>
                <w:sz w:val="20"/>
                <w:lang w:eastAsia="sk-SK"/>
              </w:rPr>
              <w:t>50 Hz</w:t>
            </w:r>
          </w:p>
        </w:tc>
        <w:tc>
          <w:tcPr>
            <w:tcW w:w="1773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 xml:space="preserve">220-240 V  </w:t>
            </w:r>
            <w:r w:rsidRPr="005B31AB">
              <w:rPr>
                <w:rFonts w:cs="Calibri"/>
                <w:sz w:val="20"/>
                <w:lang w:eastAsia="sk-SK"/>
              </w:rPr>
              <w:t>~</w:t>
            </w:r>
            <w:r w:rsidRPr="005B31AB">
              <w:rPr>
                <w:sz w:val="20"/>
                <w:lang w:eastAsia="sk-SK"/>
              </w:rPr>
              <w:t>50 Hz</w:t>
            </w:r>
          </w:p>
        </w:tc>
      </w:tr>
    </w:tbl>
    <w:p w:rsidR="000A6498" w:rsidRDefault="000A6498" w:rsidP="00CE4A6C">
      <w:pPr>
        <w:spacing w:after="0" w:line="240" w:lineRule="auto"/>
        <w:jc w:val="both"/>
        <w:rPr>
          <w:sz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313"/>
      </w:tblGrid>
      <w:tr w:rsidR="00747C8D" w:rsidRPr="005B31AB" w:rsidTr="005B31AB">
        <w:tc>
          <w:tcPr>
            <w:tcW w:w="7091" w:type="dxa"/>
            <w:gridSpan w:val="4"/>
            <w:shd w:val="clear" w:color="auto" w:fill="auto"/>
          </w:tcPr>
          <w:p w:rsidR="00747C8D" w:rsidRPr="005B31AB" w:rsidRDefault="00747C8D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Rozšírené informácie o výrobku podľa Vyhláška EÚ 66/2014</w:t>
            </w:r>
          </w:p>
          <w:p w:rsidR="00747C8D" w:rsidRPr="005B31AB" w:rsidRDefault="00747C8D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Model IKF-E 18 S</w:t>
            </w:r>
          </w:p>
          <w:p w:rsidR="00747C8D" w:rsidRPr="005B31AB" w:rsidRDefault="00747C8D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(BI-18VI-6(S))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0A6498" w:rsidRPr="005B31AB" w:rsidRDefault="000A6498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0A6498" w:rsidRPr="005B31AB" w:rsidRDefault="00747C8D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Symbol</w:t>
            </w:r>
          </w:p>
        </w:tc>
        <w:tc>
          <w:tcPr>
            <w:tcW w:w="1842" w:type="dxa"/>
            <w:shd w:val="clear" w:color="auto" w:fill="auto"/>
          </w:tcPr>
          <w:p w:rsidR="000A6498" w:rsidRPr="005B31AB" w:rsidRDefault="00747C8D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Hodnota</w:t>
            </w:r>
          </w:p>
        </w:tc>
        <w:tc>
          <w:tcPr>
            <w:tcW w:w="1313" w:type="dxa"/>
            <w:shd w:val="clear" w:color="auto" w:fill="auto"/>
          </w:tcPr>
          <w:p w:rsidR="000A6498" w:rsidRPr="005B31AB" w:rsidRDefault="00747C8D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Jednotka</w:t>
            </w:r>
          </w:p>
        </w:tc>
      </w:tr>
      <w:tr w:rsidR="00C31506" w:rsidRPr="005B31AB" w:rsidTr="005B31AB">
        <w:tc>
          <w:tcPr>
            <w:tcW w:w="25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Označenie modelu</w:t>
            </w:r>
          </w:p>
        </w:tc>
        <w:tc>
          <w:tcPr>
            <w:tcW w:w="4573" w:type="dxa"/>
            <w:gridSpan w:val="3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IKF-E 18 S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747C8D" w:rsidRPr="005B31AB" w:rsidRDefault="00C31506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Druh varnej platne</w:t>
            </w:r>
          </w:p>
        </w:tc>
        <w:tc>
          <w:tcPr>
            <w:tcW w:w="1418" w:type="dxa"/>
            <w:shd w:val="clear" w:color="auto" w:fill="auto"/>
          </w:tcPr>
          <w:p w:rsidR="00747C8D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47C8D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voľne stojaca</w:t>
            </w:r>
          </w:p>
        </w:tc>
        <w:tc>
          <w:tcPr>
            <w:tcW w:w="1313" w:type="dxa"/>
            <w:shd w:val="clear" w:color="auto" w:fill="auto"/>
          </w:tcPr>
          <w:p w:rsidR="00747C8D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Počet varných miest a/alebo plôch</w:t>
            </w:r>
          </w:p>
        </w:tc>
        <w:tc>
          <w:tcPr>
            <w:tcW w:w="14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</w:t>
            </w:r>
          </w:p>
        </w:tc>
        <w:tc>
          <w:tcPr>
            <w:tcW w:w="1313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Technológia ohrevu (indukčné varné miesta alebo plochy, sálavé vykurovacie teleso varného miesta, varné platne):</w:t>
            </w:r>
          </w:p>
        </w:tc>
        <w:tc>
          <w:tcPr>
            <w:tcW w:w="14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Indukčný</w:t>
            </w:r>
            <w:r w:rsidRPr="005B31AB">
              <w:rPr>
                <w:sz w:val="20"/>
                <w:lang w:eastAsia="sk-SK"/>
              </w:rPr>
              <w:br/>
              <w:t>vyhrievací prvok</w:t>
            </w: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</w:tc>
        <w:tc>
          <w:tcPr>
            <w:tcW w:w="1313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Pre okrúhle varné miesta alebo plochy: dĺžka a šírka úžitkovej plochy jedného elektrického vyhrievacieho telesa alebo prostredia, zaokrúhlené na 5 mm</w:t>
            </w:r>
          </w:p>
        </w:tc>
        <w:tc>
          <w:tcPr>
            <w:tcW w:w="14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rFonts w:cs="Calibri"/>
                <w:sz w:val="20"/>
                <w:lang w:eastAsia="sk-SK"/>
              </w:rPr>
              <w:t>Ø</w:t>
            </w:r>
          </w:p>
        </w:tc>
        <w:tc>
          <w:tcPr>
            <w:tcW w:w="1842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19,0</w:t>
            </w:r>
          </w:p>
        </w:tc>
        <w:tc>
          <w:tcPr>
            <w:tcW w:w="1313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  <w:tr w:rsidR="005B31AB" w:rsidRPr="005B31AB" w:rsidTr="005B31AB">
        <w:trPr>
          <w:trHeight w:val="869"/>
        </w:trPr>
        <w:tc>
          <w:tcPr>
            <w:tcW w:w="2518" w:type="dxa"/>
            <w:vMerge w:val="restart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 xml:space="preserve">Pre nie okrúhle varné miesta alebo plochy: šírka a dĺžka </w:t>
            </w:r>
            <w:r w:rsidRPr="005B31AB">
              <w:rPr>
                <w:sz w:val="20"/>
                <w:lang w:eastAsia="sk-SK"/>
              </w:rPr>
              <w:t>úžitkovej plochy jedného elektrického vyhrievacieho telesa alebo prostredia, zaokrúhlené na 5 mm</w:t>
            </w:r>
          </w:p>
        </w:tc>
        <w:tc>
          <w:tcPr>
            <w:tcW w:w="14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L</w:t>
            </w:r>
          </w:p>
        </w:tc>
        <w:tc>
          <w:tcPr>
            <w:tcW w:w="1842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  <w:tr w:rsidR="005B31AB" w:rsidRPr="005B31AB" w:rsidTr="005B31AB">
        <w:tc>
          <w:tcPr>
            <w:tcW w:w="2518" w:type="dxa"/>
            <w:vMerge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</w:t>
            </w:r>
          </w:p>
        </w:tc>
        <w:tc>
          <w:tcPr>
            <w:tcW w:w="1842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C31506" w:rsidRPr="005B31AB" w:rsidRDefault="00C31506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</w:tbl>
    <w:p w:rsidR="000A6498" w:rsidRDefault="000A6498" w:rsidP="00CE4A6C">
      <w:pPr>
        <w:spacing w:after="0" w:line="240" w:lineRule="auto"/>
        <w:jc w:val="both"/>
        <w:rPr>
          <w:sz w:val="20"/>
          <w:lang w:eastAsia="sk-SK"/>
        </w:rPr>
      </w:pPr>
    </w:p>
    <w:p w:rsidR="004A4E9F" w:rsidRDefault="004A4E9F" w:rsidP="00CE4A6C">
      <w:pPr>
        <w:spacing w:after="0" w:line="240" w:lineRule="auto"/>
        <w:jc w:val="both"/>
        <w:rPr>
          <w:sz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313"/>
      </w:tblGrid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Symbol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Hodnota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Jednotka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Označenie modelu</w:t>
            </w:r>
          </w:p>
        </w:tc>
        <w:tc>
          <w:tcPr>
            <w:tcW w:w="4573" w:type="dxa"/>
            <w:gridSpan w:val="3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IKF-E 18 S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Spotreba energie na varné miesto alebo výpočet plošného obsahu na kg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EC</w:t>
            </w: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18"/>
                <w:lang w:eastAsia="sk-SK"/>
              </w:rPr>
            </w:pPr>
            <w:r w:rsidRPr="005B31AB">
              <w:rPr>
                <w:sz w:val="18"/>
                <w:lang w:eastAsia="sk-SK"/>
              </w:rPr>
              <w:t>elektrické varenie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191,8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Wh/kg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Spotreba energie na varné pole prepočítaná na kg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EC</w:t>
            </w: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elektrické varné pole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191,8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Wh/kg</w:t>
            </w:r>
          </w:p>
        </w:tc>
      </w:tr>
    </w:tbl>
    <w:p w:rsidR="004A4E9F" w:rsidRDefault="004A4E9F" w:rsidP="00CE4A6C">
      <w:pPr>
        <w:spacing w:after="0" w:line="240" w:lineRule="auto"/>
        <w:jc w:val="both"/>
        <w:rPr>
          <w:sz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313"/>
      </w:tblGrid>
      <w:tr w:rsidR="005B31AB" w:rsidRPr="005B31AB" w:rsidTr="005B31AB">
        <w:tc>
          <w:tcPr>
            <w:tcW w:w="7091" w:type="dxa"/>
            <w:gridSpan w:val="4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Rozšírené informácie o výrobku podľa Vyhláška EÚ 66/2014</w:t>
            </w:r>
          </w:p>
          <w:p w:rsidR="004A4E9F" w:rsidRPr="005B31AB" w:rsidRDefault="004A4E9F" w:rsidP="005B31AB">
            <w:pPr>
              <w:spacing w:after="0" w:line="240" w:lineRule="auto"/>
              <w:jc w:val="both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Model IKF-</w:t>
            </w:r>
            <w:r w:rsidRPr="005B31AB">
              <w:rPr>
                <w:b/>
                <w:sz w:val="20"/>
                <w:lang w:eastAsia="sk-SK"/>
              </w:rPr>
              <w:t>D</w:t>
            </w:r>
            <w:r w:rsidRPr="005B31AB">
              <w:rPr>
                <w:b/>
                <w:sz w:val="20"/>
                <w:lang w:eastAsia="sk-SK"/>
              </w:rPr>
              <w:t xml:space="preserve"> </w:t>
            </w:r>
            <w:r w:rsidRPr="005B31AB">
              <w:rPr>
                <w:b/>
                <w:sz w:val="20"/>
                <w:lang w:eastAsia="sk-SK"/>
              </w:rPr>
              <w:t>31</w:t>
            </w:r>
            <w:r w:rsidRPr="005B31AB">
              <w:rPr>
                <w:b/>
                <w:sz w:val="20"/>
                <w:lang w:eastAsia="sk-SK"/>
              </w:rPr>
              <w:t xml:space="preserve"> S</w:t>
            </w:r>
          </w:p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(BI-</w:t>
            </w:r>
            <w:r w:rsidRPr="005B31AB">
              <w:rPr>
                <w:sz w:val="20"/>
                <w:lang w:eastAsia="sk-SK"/>
              </w:rPr>
              <w:t>31</w:t>
            </w:r>
            <w:r w:rsidRPr="005B31AB">
              <w:rPr>
                <w:sz w:val="20"/>
                <w:lang w:eastAsia="sk-SK"/>
              </w:rPr>
              <w:t>VI-</w:t>
            </w:r>
            <w:r w:rsidRPr="005B31AB">
              <w:rPr>
                <w:sz w:val="20"/>
                <w:lang w:eastAsia="sk-SK"/>
              </w:rPr>
              <w:t>5-2</w:t>
            </w:r>
            <w:r w:rsidRPr="005B31AB">
              <w:rPr>
                <w:sz w:val="20"/>
                <w:lang w:eastAsia="sk-SK"/>
              </w:rPr>
              <w:t>)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Symbol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Hodnota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Jednotka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Označenie modelu</w:t>
            </w:r>
          </w:p>
        </w:tc>
        <w:tc>
          <w:tcPr>
            <w:tcW w:w="4573" w:type="dxa"/>
            <w:gridSpan w:val="3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IKF-</w:t>
            </w:r>
            <w:r w:rsidRPr="005B31AB">
              <w:rPr>
                <w:sz w:val="20"/>
                <w:lang w:eastAsia="sk-SK"/>
              </w:rPr>
              <w:t>D</w:t>
            </w:r>
            <w:r w:rsidRPr="005B31AB">
              <w:rPr>
                <w:sz w:val="20"/>
                <w:lang w:eastAsia="sk-SK"/>
              </w:rPr>
              <w:t xml:space="preserve"> </w:t>
            </w:r>
            <w:r w:rsidRPr="005B31AB">
              <w:rPr>
                <w:sz w:val="20"/>
                <w:lang w:eastAsia="sk-SK"/>
              </w:rPr>
              <w:t>31</w:t>
            </w:r>
            <w:r w:rsidRPr="005B31AB">
              <w:rPr>
                <w:sz w:val="20"/>
                <w:lang w:eastAsia="sk-SK"/>
              </w:rPr>
              <w:t xml:space="preserve"> S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Druh varnej platne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voľne stojaca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Počet varných miest a/alebo plôch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Technológia ohrevu (indukčné varné miesta alebo plochy, sálavé vykurovacie teleso varného miesta, varné platne):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Indukčný</w:t>
            </w:r>
            <w:r w:rsidRPr="005B31AB">
              <w:rPr>
                <w:sz w:val="20"/>
                <w:lang w:eastAsia="sk-SK"/>
              </w:rPr>
              <w:br/>
              <w:t>vyhrievací prvok</w:t>
            </w: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Pre okrúhle varné miesta alebo plochy: dĺžka a šírka úžitkovej plochy jedného elektrického vyhrievacieho telesa alebo prostredia, zaokrúhlené na 5 mm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rFonts w:cs="Calibri"/>
                <w:sz w:val="20"/>
                <w:lang w:eastAsia="sk-SK"/>
              </w:rPr>
              <w:t>Ø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20,0/20,0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  <w:tr w:rsidR="005B31AB" w:rsidRPr="005B31AB" w:rsidTr="005B31AB">
        <w:trPr>
          <w:trHeight w:val="869"/>
        </w:trPr>
        <w:tc>
          <w:tcPr>
            <w:tcW w:w="2518" w:type="dxa"/>
            <w:vMerge w:val="restart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Pre nie okrúhle varné miesta alebo plochy: šírka a dĺžka úžitkovej plochy jedného elektrického vyhrievacieho telesa alebo prostredia, zaokrúhlené na 5 mm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L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  <w:tr w:rsidR="005B31AB" w:rsidRPr="005B31AB" w:rsidTr="005B31AB">
        <w:tc>
          <w:tcPr>
            <w:tcW w:w="2518" w:type="dxa"/>
            <w:vMerge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cm</w:t>
            </w:r>
          </w:p>
        </w:tc>
      </w:tr>
    </w:tbl>
    <w:p w:rsidR="004A4E9F" w:rsidRDefault="004A4E9F" w:rsidP="004A4E9F">
      <w:pPr>
        <w:spacing w:after="0" w:line="240" w:lineRule="auto"/>
        <w:jc w:val="both"/>
        <w:rPr>
          <w:sz w:val="20"/>
          <w:lang w:eastAsia="sk-SK"/>
        </w:rPr>
      </w:pPr>
    </w:p>
    <w:p w:rsidR="004A4E9F" w:rsidRDefault="004A4E9F" w:rsidP="004A4E9F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313"/>
      </w:tblGrid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Symbol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Hodnota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b/>
                <w:sz w:val="20"/>
                <w:lang w:eastAsia="sk-SK"/>
              </w:rPr>
            </w:pPr>
            <w:r w:rsidRPr="005B31AB">
              <w:rPr>
                <w:b/>
                <w:sz w:val="20"/>
                <w:lang w:eastAsia="sk-SK"/>
              </w:rPr>
              <w:t>Jednotka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both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Označenie modelu</w:t>
            </w:r>
          </w:p>
        </w:tc>
        <w:tc>
          <w:tcPr>
            <w:tcW w:w="4573" w:type="dxa"/>
            <w:gridSpan w:val="3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IKF-</w:t>
            </w:r>
            <w:r w:rsidRPr="005B31AB">
              <w:rPr>
                <w:sz w:val="20"/>
                <w:lang w:eastAsia="sk-SK"/>
              </w:rPr>
              <w:t>D</w:t>
            </w:r>
            <w:r w:rsidRPr="005B31AB">
              <w:rPr>
                <w:sz w:val="20"/>
                <w:lang w:eastAsia="sk-SK"/>
              </w:rPr>
              <w:t xml:space="preserve"> </w:t>
            </w:r>
            <w:r w:rsidRPr="005B31AB">
              <w:rPr>
                <w:sz w:val="20"/>
                <w:lang w:eastAsia="sk-SK"/>
              </w:rPr>
              <w:t>31</w:t>
            </w:r>
            <w:r w:rsidRPr="005B31AB">
              <w:rPr>
                <w:sz w:val="20"/>
                <w:lang w:eastAsia="sk-SK"/>
              </w:rPr>
              <w:t xml:space="preserve"> S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Spotreba energie na varné miesto alebo výpočet plošného obsahu na kg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EC</w:t>
            </w: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18"/>
                <w:lang w:eastAsia="sk-SK"/>
              </w:rPr>
            </w:pPr>
            <w:r w:rsidRPr="005B31AB">
              <w:rPr>
                <w:sz w:val="18"/>
                <w:lang w:eastAsia="sk-SK"/>
              </w:rPr>
              <w:t>elektrické varenie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189,8/192,2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Wh/kg</w:t>
            </w:r>
          </w:p>
        </w:tc>
      </w:tr>
      <w:tr w:rsidR="005B31AB" w:rsidRPr="005B31AB" w:rsidTr="005B31AB">
        <w:tc>
          <w:tcPr>
            <w:tcW w:w="25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Spotreba energie na varné pole prepočítaná na kg</w:t>
            </w:r>
          </w:p>
        </w:tc>
        <w:tc>
          <w:tcPr>
            <w:tcW w:w="1418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EC</w:t>
            </w: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elektrické varné pole</w:t>
            </w:r>
          </w:p>
        </w:tc>
        <w:tc>
          <w:tcPr>
            <w:tcW w:w="1842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191,</w:t>
            </w:r>
            <w:r w:rsidRPr="005B31AB">
              <w:rPr>
                <w:sz w:val="20"/>
                <w:lang w:eastAsia="sk-SK"/>
              </w:rPr>
              <w:t>0</w:t>
            </w:r>
          </w:p>
        </w:tc>
        <w:tc>
          <w:tcPr>
            <w:tcW w:w="1313" w:type="dxa"/>
            <w:shd w:val="clear" w:color="auto" w:fill="auto"/>
          </w:tcPr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</w:p>
          <w:p w:rsidR="004A4E9F" w:rsidRPr="005B31AB" w:rsidRDefault="004A4E9F" w:rsidP="005B31AB">
            <w:pPr>
              <w:spacing w:after="0" w:line="240" w:lineRule="auto"/>
              <w:jc w:val="center"/>
              <w:rPr>
                <w:sz w:val="20"/>
                <w:lang w:eastAsia="sk-SK"/>
              </w:rPr>
            </w:pPr>
            <w:r w:rsidRPr="005B31AB">
              <w:rPr>
                <w:sz w:val="20"/>
                <w:lang w:eastAsia="sk-SK"/>
              </w:rPr>
              <w:t>Wh/kg</w:t>
            </w:r>
          </w:p>
        </w:tc>
      </w:tr>
    </w:tbl>
    <w:p w:rsidR="004A4E9F" w:rsidRDefault="004A4E9F" w:rsidP="00CE4A6C">
      <w:pPr>
        <w:spacing w:after="0" w:line="240" w:lineRule="auto"/>
        <w:jc w:val="both"/>
        <w:rPr>
          <w:sz w:val="20"/>
          <w:lang w:eastAsia="sk-SK"/>
        </w:rPr>
      </w:pPr>
    </w:p>
    <w:p w:rsidR="004A4E9F" w:rsidRDefault="004A4E9F" w:rsidP="00CE4A6C">
      <w:pPr>
        <w:spacing w:after="0" w:line="240" w:lineRule="auto"/>
        <w:jc w:val="both"/>
        <w:rPr>
          <w:b/>
          <w:lang w:eastAsia="sk-SK"/>
        </w:rPr>
      </w:pPr>
      <w:r>
        <w:rPr>
          <w:b/>
          <w:lang w:eastAsia="sk-SK"/>
        </w:rPr>
        <w:t>Likvidácia</w:t>
      </w:r>
    </w:p>
    <w:p w:rsidR="004A4E9F" w:rsidRDefault="004A4E9F" w:rsidP="00CE4A6C">
      <w:pPr>
        <w:spacing w:after="0" w:line="240" w:lineRule="auto"/>
        <w:jc w:val="both"/>
        <w:rPr>
          <w:sz w:val="20"/>
          <w:lang w:eastAsia="sk-SK"/>
        </w:rPr>
      </w:pPr>
      <w:r>
        <w:rPr>
          <w:noProof/>
        </w:rPr>
        <w:pict>
          <v:shape id="_x0000_s1036" type="#_x0000_t75" style="position:absolute;left:0;text-align:left;margin-left:0;margin-top:0;width:47.2pt;height:64.5pt;z-index:6;visibility:visible;mso-wrap-style:square;mso-position-horizontal:absolute;mso-position-horizontal-relative:text;mso-position-vertical:absolute;mso-position-vertical-relative:text">
            <v:imagedata r:id="rId17" o:title=""/>
            <w10:wrap type="square"/>
          </v:shape>
        </w:pict>
      </w:r>
      <w:r>
        <w:rPr>
          <w:sz w:val="20"/>
          <w:lang w:eastAsia="sk-SK"/>
        </w:rPr>
        <w:t xml:space="preserve">Tento symbol na výrobku alebo jeho obale upozorňuje na to, že tento výrobok sa nepovažuje za normálny odpad z domácnosti, ale za triedený odpad na recykláciu elektrických a elektronických prístrojov, ktorý treba odovzdať na zbernom mieste. Svojím zodpovedným prístupom k správnej likvidácii tohto výrobku chránite životné prostredie a zdravie svojich spoluobčanov. Nesprávna likvidácia ohrozuje životné prostredie aj ľudské zdravie. Ďalšie informácie o recyklácii tohto výrobku dostanete od miestnej firmy, zodpovednej za likvidáciu, odvoz odpadu </w:t>
      </w:r>
      <w:r w:rsidR="00501498">
        <w:rPr>
          <w:sz w:val="20"/>
          <w:lang w:eastAsia="sk-SK"/>
        </w:rPr>
        <w:t>alebo v predajni, v ktorej ste výrobok zakúpili. Tento symbol platí v celej Európskej únii.</w:t>
      </w:r>
    </w:p>
    <w:p w:rsidR="00501498" w:rsidRDefault="00501498" w:rsidP="00CE4A6C">
      <w:pPr>
        <w:spacing w:after="0" w:line="240" w:lineRule="auto"/>
        <w:jc w:val="both"/>
        <w:rPr>
          <w:sz w:val="20"/>
          <w:lang w:eastAsia="sk-SK"/>
        </w:rPr>
      </w:pPr>
    </w:p>
    <w:p w:rsidR="00501498" w:rsidRPr="00501498" w:rsidRDefault="00501498" w:rsidP="00CE4A6C">
      <w:pPr>
        <w:spacing w:after="0" w:line="240" w:lineRule="auto"/>
        <w:jc w:val="both"/>
        <w:rPr>
          <w:b/>
          <w:sz w:val="20"/>
          <w:lang w:eastAsia="sk-SK"/>
        </w:rPr>
      </w:pPr>
      <w:r>
        <w:rPr>
          <w:b/>
          <w:sz w:val="20"/>
          <w:lang w:eastAsia="sk-SK"/>
        </w:rPr>
        <w:t>Osobitné upozornenia:</w:t>
      </w:r>
    </w:p>
    <w:p w:rsidR="004A4E9F" w:rsidRDefault="00501498" w:rsidP="00CE4A6C">
      <w:pPr>
        <w:spacing w:after="0" w:line="240" w:lineRule="auto"/>
        <w:jc w:val="both"/>
        <w:rPr>
          <w:sz w:val="20"/>
          <w:lang w:eastAsia="sk-SK"/>
        </w:rPr>
      </w:pPr>
      <w:r>
        <w:rPr>
          <w:sz w:val="20"/>
          <w:lang w:eastAsia="sk-SK"/>
        </w:rPr>
        <w:t>Nepokúšajte sa výrobok sami otvárať alebo opravovať, znamenalo by to prepadnutie záruky a mohlo by to viesť k úrazu alebo vecným škodám. Opravy smú vykonávať iba autorizované opravovne alebo náš zákaznícky servis.</w:t>
      </w:r>
    </w:p>
    <w:p w:rsidR="00501498" w:rsidRDefault="00501498" w:rsidP="00CE4A6C">
      <w:pPr>
        <w:spacing w:after="0" w:line="240" w:lineRule="auto"/>
        <w:jc w:val="both"/>
        <w:rPr>
          <w:sz w:val="20"/>
          <w:lang w:eastAsia="sk-SK"/>
        </w:rPr>
      </w:pPr>
    </w:p>
    <w:p w:rsidR="00501498" w:rsidRDefault="00501498" w:rsidP="00CE4A6C">
      <w:pPr>
        <w:spacing w:after="0" w:line="240" w:lineRule="auto"/>
        <w:jc w:val="both"/>
        <w:rPr>
          <w:sz w:val="18"/>
          <w:lang w:eastAsia="sk-SK"/>
        </w:rPr>
      </w:pPr>
      <w:r>
        <w:rPr>
          <w:b/>
          <w:sz w:val="18"/>
          <w:u w:val="single"/>
          <w:lang w:eastAsia="sk-SK"/>
        </w:rPr>
        <w:t>Označenie CE</w:t>
      </w:r>
    </w:p>
    <w:p w:rsidR="00501498" w:rsidRPr="00501498" w:rsidRDefault="00501498" w:rsidP="00CE4A6C">
      <w:pPr>
        <w:spacing w:after="0" w:line="240" w:lineRule="auto"/>
        <w:jc w:val="both"/>
        <w:rPr>
          <w:sz w:val="18"/>
          <w:lang w:eastAsia="sk-SK"/>
        </w:rPr>
      </w:pPr>
      <w:r>
        <w:rPr>
          <w:sz w:val="18"/>
          <w:lang w:eastAsia="sk-SK"/>
        </w:rPr>
        <w:t xml:space="preserve">Označenie CE potvrdzuje, že tento výrobok spĺňa všetky základné požiadavky Smernice o elektromagnetickej kompatibilite (2014/30/EU), Smernice o limitoch napätia (2014/35/EU) a Smernice </w:t>
      </w:r>
      <w:proofErr w:type="spellStart"/>
      <w:r>
        <w:rPr>
          <w:sz w:val="18"/>
          <w:lang w:eastAsia="sk-SK"/>
        </w:rPr>
        <w:t>RoHS</w:t>
      </w:r>
      <w:proofErr w:type="spellEnd"/>
      <w:r>
        <w:rPr>
          <w:sz w:val="18"/>
          <w:lang w:eastAsia="sk-SK"/>
        </w:rPr>
        <w:t xml:space="preserve"> (2011/35/EU).</w:t>
      </w:r>
    </w:p>
    <w:sectPr w:rsidR="00501498" w:rsidRPr="00501498" w:rsidSect="005463B2">
      <w:footerReference w:type="default" r:id="rId18"/>
      <w:pgSz w:w="8391" w:h="11907" w:code="11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AB" w:rsidRDefault="005B31AB" w:rsidP="00E334F2">
      <w:pPr>
        <w:spacing w:after="0" w:line="240" w:lineRule="auto"/>
      </w:pPr>
      <w:r>
        <w:separator/>
      </w:r>
    </w:p>
  </w:endnote>
  <w:endnote w:type="continuationSeparator" w:id="0">
    <w:p w:rsidR="005B31AB" w:rsidRDefault="005B31AB" w:rsidP="00E3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3A" w:rsidRDefault="00A7143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498">
      <w:rPr>
        <w:noProof/>
      </w:rPr>
      <w:t>14</w:t>
    </w:r>
    <w:r>
      <w:fldChar w:fldCharType="end"/>
    </w:r>
  </w:p>
  <w:p w:rsidR="00A7143A" w:rsidRDefault="00A7143A" w:rsidP="002837C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AB" w:rsidRDefault="005B31AB" w:rsidP="00E334F2">
      <w:pPr>
        <w:spacing w:after="0" w:line="240" w:lineRule="auto"/>
      </w:pPr>
      <w:r>
        <w:separator/>
      </w:r>
    </w:p>
  </w:footnote>
  <w:footnote w:type="continuationSeparator" w:id="0">
    <w:p w:rsidR="005B31AB" w:rsidRDefault="005B31AB" w:rsidP="00E3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A89"/>
    <w:multiLevelType w:val="hybridMultilevel"/>
    <w:tmpl w:val="21D40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A7F"/>
    <w:multiLevelType w:val="hybridMultilevel"/>
    <w:tmpl w:val="6554C7D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05996"/>
    <w:multiLevelType w:val="hybridMultilevel"/>
    <w:tmpl w:val="304400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5AE3"/>
    <w:multiLevelType w:val="hybridMultilevel"/>
    <w:tmpl w:val="F5322EA8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5D3377"/>
    <w:multiLevelType w:val="hybridMultilevel"/>
    <w:tmpl w:val="13E6D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B39"/>
    <w:multiLevelType w:val="hybridMultilevel"/>
    <w:tmpl w:val="7B5E3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160A"/>
    <w:multiLevelType w:val="hybridMultilevel"/>
    <w:tmpl w:val="B1A24370"/>
    <w:lvl w:ilvl="0" w:tplc="22821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7A52"/>
    <w:multiLevelType w:val="hybridMultilevel"/>
    <w:tmpl w:val="8786B8F0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E1128E"/>
    <w:multiLevelType w:val="multilevel"/>
    <w:tmpl w:val="E79E26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  <w:u w:val="single"/>
      </w:rPr>
    </w:lvl>
  </w:abstractNum>
  <w:abstractNum w:abstractNumId="9" w15:restartNumberingAfterBreak="0">
    <w:nsid w:val="227F0C02"/>
    <w:multiLevelType w:val="hybridMultilevel"/>
    <w:tmpl w:val="D4DCB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21DD6"/>
    <w:multiLevelType w:val="hybridMultilevel"/>
    <w:tmpl w:val="207C89B6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917ECC"/>
    <w:multiLevelType w:val="hybridMultilevel"/>
    <w:tmpl w:val="BC023F0C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BC4F38"/>
    <w:multiLevelType w:val="hybridMultilevel"/>
    <w:tmpl w:val="D6E227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159B1"/>
    <w:multiLevelType w:val="hybridMultilevel"/>
    <w:tmpl w:val="3F16918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488"/>
    <w:multiLevelType w:val="hybridMultilevel"/>
    <w:tmpl w:val="7F289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33171"/>
    <w:multiLevelType w:val="hybridMultilevel"/>
    <w:tmpl w:val="CFE8AF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BC5248"/>
    <w:multiLevelType w:val="hybridMultilevel"/>
    <w:tmpl w:val="56A8FD14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571FEA"/>
    <w:multiLevelType w:val="hybridMultilevel"/>
    <w:tmpl w:val="A790E4FC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4E1609"/>
    <w:multiLevelType w:val="hybridMultilevel"/>
    <w:tmpl w:val="B3763AFE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970F7E"/>
    <w:multiLevelType w:val="hybridMultilevel"/>
    <w:tmpl w:val="17707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58BE"/>
    <w:multiLevelType w:val="hybridMultilevel"/>
    <w:tmpl w:val="AAB8D1F0"/>
    <w:lvl w:ilvl="0" w:tplc="149892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14BA7"/>
    <w:multiLevelType w:val="hybridMultilevel"/>
    <w:tmpl w:val="31E48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948D2"/>
    <w:multiLevelType w:val="hybridMultilevel"/>
    <w:tmpl w:val="94006480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AD016EE"/>
    <w:multiLevelType w:val="hybridMultilevel"/>
    <w:tmpl w:val="122A5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551"/>
    <w:multiLevelType w:val="hybridMultilevel"/>
    <w:tmpl w:val="EED26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F30A5"/>
    <w:multiLevelType w:val="hybridMultilevel"/>
    <w:tmpl w:val="4F9A5AC8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EB16F30"/>
    <w:multiLevelType w:val="hybridMultilevel"/>
    <w:tmpl w:val="945CFC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F2439"/>
    <w:multiLevelType w:val="hybridMultilevel"/>
    <w:tmpl w:val="96C0B96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815416"/>
    <w:multiLevelType w:val="hybridMultilevel"/>
    <w:tmpl w:val="3C363B46"/>
    <w:lvl w:ilvl="0" w:tplc="08DE7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0055E"/>
    <w:multiLevelType w:val="hybridMultilevel"/>
    <w:tmpl w:val="AA02BE5E"/>
    <w:lvl w:ilvl="0" w:tplc="CB04E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1B5CB7"/>
    <w:multiLevelType w:val="hybridMultilevel"/>
    <w:tmpl w:val="31D8AE30"/>
    <w:lvl w:ilvl="0" w:tplc="7990E8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17"/>
  </w:num>
  <w:num w:numId="8">
    <w:abstractNumId w:val="3"/>
  </w:num>
  <w:num w:numId="9">
    <w:abstractNumId w:val="7"/>
  </w:num>
  <w:num w:numId="10">
    <w:abstractNumId w:val="22"/>
  </w:num>
  <w:num w:numId="11">
    <w:abstractNumId w:val="10"/>
  </w:num>
  <w:num w:numId="12">
    <w:abstractNumId w:val="18"/>
  </w:num>
  <w:num w:numId="13">
    <w:abstractNumId w:val="16"/>
  </w:num>
  <w:num w:numId="14">
    <w:abstractNumId w:val="25"/>
  </w:num>
  <w:num w:numId="15">
    <w:abstractNumId w:val="29"/>
  </w:num>
  <w:num w:numId="16">
    <w:abstractNumId w:val="27"/>
  </w:num>
  <w:num w:numId="17">
    <w:abstractNumId w:val="20"/>
  </w:num>
  <w:num w:numId="18">
    <w:abstractNumId w:val="4"/>
  </w:num>
  <w:num w:numId="19">
    <w:abstractNumId w:val="24"/>
  </w:num>
  <w:num w:numId="20">
    <w:abstractNumId w:val="19"/>
  </w:num>
  <w:num w:numId="21">
    <w:abstractNumId w:val="5"/>
  </w:num>
  <w:num w:numId="22">
    <w:abstractNumId w:val="0"/>
  </w:num>
  <w:num w:numId="23">
    <w:abstractNumId w:val="6"/>
  </w:num>
  <w:num w:numId="24">
    <w:abstractNumId w:val="30"/>
  </w:num>
  <w:num w:numId="25">
    <w:abstractNumId w:val="28"/>
  </w:num>
  <w:num w:numId="26">
    <w:abstractNumId w:val="9"/>
  </w:num>
  <w:num w:numId="27">
    <w:abstractNumId w:val="12"/>
  </w:num>
  <w:num w:numId="28">
    <w:abstractNumId w:val="21"/>
  </w:num>
  <w:num w:numId="29">
    <w:abstractNumId w:val="14"/>
  </w:num>
  <w:num w:numId="30">
    <w:abstractNumId w:val="26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4F2"/>
    <w:rsid w:val="00065D8B"/>
    <w:rsid w:val="0007786C"/>
    <w:rsid w:val="00083A66"/>
    <w:rsid w:val="000A23A2"/>
    <w:rsid w:val="000A6498"/>
    <w:rsid w:val="000B307C"/>
    <w:rsid w:val="000E4E71"/>
    <w:rsid w:val="000F7E6E"/>
    <w:rsid w:val="001048D0"/>
    <w:rsid w:val="00116A9E"/>
    <w:rsid w:val="00130665"/>
    <w:rsid w:val="001366D2"/>
    <w:rsid w:val="001F74A9"/>
    <w:rsid w:val="0020213E"/>
    <w:rsid w:val="00235A96"/>
    <w:rsid w:val="002532D0"/>
    <w:rsid w:val="0027104D"/>
    <w:rsid w:val="002837C6"/>
    <w:rsid w:val="00287FCB"/>
    <w:rsid w:val="00295070"/>
    <w:rsid w:val="002B03B1"/>
    <w:rsid w:val="002E78D4"/>
    <w:rsid w:val="0035712D"/>
    <w:rsid w:val="00372DA1"/>
    <w:rsid w:val="003B3EEB"/>
    <w:rsid w:val="003C05C4"/>
    <w:rsid w:val="003C4926"/>
    <w:rsid w:val="003C70C1"/>
    <w:rsid w:val="003D5B94"/>
    <w:rsid w:val="0041787D"/>
    <w:rsid w:val="00455A05"/>
    <w:rsid w:val="004948FC"/>
    <w:rsid w:val="00496805"/>
    <w:rsid w:val="004A4718"/>
    <w:rsid w:val="004A4E9F"/>
    <w:rsid w:val="004A5F3F"/>
    <w:rsid w:val="004E0160"/>
    <w:rsid w:val="004F0D59"/>
    <w:rsid w:val="004F4897"/>
    <w:rsid w:val="00501498"/>
    <w:rsid w:val="005163CF"/>
    <w:rsid w:val="00517769"/>
    <w:rsid w:val="00522771"/>
    <w:rsid w:val="00537FEF"/>
    <w:rsid w:val="005463B2"/>
    <w:rsid w:val="005A17E7"/>
    <w:rsid w:val="005B31AB"/>
    <w:rsid w:val="005D3086"/>
    <w:rsid w:val="005F3165"/>
    <w:rsid w:val="005F5C2B"/>
    <w:rsid w:val="006070CF"/>
    <w:rsid w:val="006335E3"/>
    <w:rsid w:val="006452F6"/>
    <w:rsid w:val="00646295"/>
    <w:rsid w:val="006530B8"/>
    <w:rsid w:val="00655CC9"/>
    <w:rsid w:val="00670E58"/>
    <w:rsid w:val="00677F42"/>
    <w:rsid w:val="006B1083"/>
    <w:rsid w:val="006C15A7"/>
    <w:rsid w:val="006D1CF6"/>
    <w:rsid w:val="006E7DC3"/>
    <w:rsid w:val="00732ED6"/>
    <w:rsid w:val="00747C8D"/>
    <w:rsid w:val="0075391F"/>
    <w:rsid w:val="00770AD1"/>
    <w:rsid w:val="00782E01"/>
    <w:rsid w:val="0078655F"/>
    <w:rsid w:val="007C67BA"/>
    <w:rsid w:val="007D678E"/>
    <w:rsid w:val="007F207C"/>
    <w:rsid w:val="008208D5"/>
    <w:rsid w:val="00846F48"/>
    <w:rsid w:val="00881347"/>
    <w:rsid w:val="008C618D"/>
    <w:rsid w:val="008C66D9"/>
    <w:rsid w:val="00940A87"/>
    <w:rsid w:val="00941613"/>
    <w:rsid w:val="00964AEA"/>
    <w:rsid w:val="009742A7"/>
    <w:rsid w:val="009A7B9E"/>
    <w:rsid w:val="009B3B48"/>
    <w:rsid w:val="00A15B26"/>
    <w:rsid w:val="00A51F3D"/>
    <w:rsid w:val="00A539DE"/>
    <w:rsid w:val="00A70E46"/>
    <w:rsid w:val="00A7143A"/>
    <w:rsid w:val="00A73482"/>
    <w:rsid w:val="00A75C58"/>
    <w:rsid w:val="00A765D7"/>
    <w:rsid w:val="00A83638"/>
    <w:rsid w:val="00A97F5A"/>
    <w:rsid w:val="00AA682B"/>
    <w:rsid w:val="00AB3D58"/>
    <w:rsid w:val="00AD7AAB"/>
    <w:rsid w:val="00B11E06"/>
    <w:rsid w:val="00B210F6"/>
    <w:rsid w:val="00B2449A"/>
    <w:rsid w:val="00B3246D"/>
    <w:rsid w:val="00B7402B"/>
    <w:rsid w:val="00BA2D04"/>
    <w:rsid w:val="00BE506F"/>
    <w:rsid w:val="00BE7799"/>
    <w:rsid w:val="00BF38C2"/>
    <w:rsid w:val="00BF4B0B"/>
    <w:rsid w:val="00BF6BF2"/>
    <w:rsid w:val="00C25326"/>
    <w:rsid w:val="00C31506"/>
    <w:rsid w:val="00C7001A"/>
    <w:rsid w:val="00C80513"/>
    <w:rsid w:val="00CA297B"/>
    <w:rsid w:val="00CE164B"/>
    <w:rsid w:val="00CE4A6C"/>
    <w:rsid w:val="00D04CA3"/>
    <w:rsid w:val="00D16FDB"/>
    <w:rsid w:val="00D4744A"/>
    <w:rsid w:val="00D740AC"/>
    <w:rsid w:val="00DB0775"/>
    <w:rsid w:val="00DC4542"/>
    <w:rsid w:val="00DF60CE"/>
    <w:rsid w:val="00E17A86"/>
    <w:rsid w:val="00E26503"/>
    <w:rsid w:val="00E334F2"/>
    <w:rsid w:val="00E51139"/>
    <w:rsid w:val="00E66609"/>
    <w:rsid w:val="00E7542E"/>
    <w:rsid w:val="00E80CC1"/>
    <w:rsid w:val="00EA2229"/>
    <w:rsid w:val="00EA7E02"/>
    <w:rsid w:val="00EB38B0"/>
    <w:rsid w:val="00EF730D"/>
    <w:rsid w:val="00F11742"/>
    <w:rsid w:val="00F67C04"/>
    <w:rsid w:val="00F9763E"/>
    <w:rsid w:val="00FB7231"/>
    <w:rsid w:val="00FC546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AE1A1B3A-BB18-4A4B-B446-4EB67326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0AC"/>
    <w:pPr>
      <w:spacing w:after="160" w:line="259" w:lineRule="auto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048D0"/>
    <w:pPr>
      <w:keepNext/>
      <w:spacing w:after="0" w:line="240" w:lineRule="auto"/>
      <w:ind w:left="567"/>
      <w:outlineLvl w:val="5"/>
    </w:pPr>
    <w:rPr>
      <w:rFonts w:ascii="Arial Narrow" w:eastAsia="Times New Roman" w:hAnsi="Arial Narrow" w:cs="Times New Roman"/>
      <w:b/>
      <w:sz w:val="40"/>
      <w:szCs w:val="20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48D0"/>
    <w:pPr>
      <w:keepNext/>
      <w:spacing w:after="0" w:line="240" w:lineRule="auto"/>
      <w:jc w:val="both"/>
      <w:outlineLvl w:val="6"/>
    </w:pPr>
    <w:rPr>
      <w:rFonts w:ascii="Arial Narrow" w:eastAsia="Times New Roman" w:hAnsi="Arial Narrow" w:cs="Times New Roman"/>
      <w:sz w:val="24"/>
      <w:szCs w:val="2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34F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34F2"/>
  </w:style>
  <w:style w:type="paragraph" w:styleId="Pta">
    <w:name w:val="footer"/>
    <w:basedOn w:val="Normlny"/>
    <w:link w:val="PtaChar"/>
    <w:uiPriority w:val="99"/>
    <w:unhideWhenUsed/>
    <w:rsid w:val="00E3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34F2"/>
  </w:style>
  <w:style w:type="table" w:styleId="Mriekatabuky">
    <w:name w:val="Table Grid"/>
    <w:basedOn w:val="Normlnatabuka"/>
    <w:uiPriority w:val="39"/>
    <w:rsid w:val="003C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6A9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uiPriority w:val="9"/>
    <w:rsid w:val="001048D0"/>
    <w:rPr>
      <w:rFonts w:ascii="Arial Narrow" w:eastAsia="Times New Roman" w:hAnsi="Arial Narrow" w:cs="Times New Roman"/>
      <w:b/>
      <w:sz w:val="40"/>
      <w:szCs w:val="20"/>
      <w:lang w:val="cs-CZ" w:eastAsia="cs-CZ"/>
    </w:rPr>
  </w:style>
  <w:style w:type="character" w:customStyle="1" w:styleId="Nadpis7Char">
    <w:name w:val="Nadpis 7 Char"/>
    <w:link w:val="Nadpis7"/>
    <w:uiPriority w:val="9"/>
    <w:rsid w:val="001048D0"/>
    <w:rPr>
      <w:rFonts w:ascii="Arial Narrow" w:eastAsia="Times New Roman" w:hAnsi="Arial Narrow" w:cs="Times New Roman"/>
      <w:sz w:val="24"/>
      <w:szCs w:val="20"/>
      <w:lang w:val="de-DE" w:eastAsia="cs-CZ"/>
    </w:rPr>
  </w:style>
  <w:style w:type="paragraph" w:styleId="Nzov">
    <w:name w:val="Title"/>
    <w:basedOn w:val="Normlny"/>
    <w:link w:val="NzovChar"/>
    <w:uiPriority w:val="99"/>
    <w:qFormat/>
    <w:rsid w:val="001048D0"/>
    <w:pPr>
      <w:pBdr>
        <w:bottom w:val="single" w:sz="4" w:space="1" w:color="auto"/>
      </w:pBdr>
      <w:tabs>
        <w:tab w:val="left" w:pos="567"/>
      </w:tabs>
      <w:spacing w:after="0" w:line="240" w:lineRule="auto"/>
      <w:ind w:left="560"/>
      <w:jc w:val="center"/>
    </w:pPr>
    <w:rPr>
      <w:rFonts w:ascii="Arial Narrow" w:eastAsia="Times New Roman" w:hAnsi="Arial Narrow" w:cs="Times New Roman"/>
      <w:b/>
      <w:bCs/>
      <w:sz w:val="44"/>
      <w:szCs w:val="20"/>
      <w:lang w:eastAsia="cs-CZ"/>
    </w:rPr>
  </w:style>
  <w:style w:type="character" w:customStyle="1" w:styleId="NzovChar">
    <w:name w:val="Názov Char"/>
    <w:link w:val="Nzov"/>
    <w:uiPriority w:val="10"/>
    <w:rsid w:val="001048D0"/>
    <w:rPr>
      <w:rFonts w:ascii="Arial Narrow" w:eastAsia="Times New Roman" w:hAnsi="Arial Narrow" w:cs="Times New Roman"/>
      <w:b/>
      <w:bCs/>
      <w:sz w:val="44"/>
      <w:szCs w:val="20"/>
      <w:lang w:eastAsia="cs-CZ"/>
    </w:rPr>
  </w:style>
  <w:style w:type="character" w:styleId="Hypertextovprepojenie">
    <w:name w:val="Hyperlink"/>
    <w:uiPriority w:val="99"/>
    <w:unhideWhenUsed/>
    <w:rsid w:val="001048D0"/>
    <w:rPr>
      <w:color w:val="0000FF"/>
      <w:u w:val="single"/>
    </w:rPr>
  </w:style>
  <w:style w:type="character" w:customStyle="1" w:styleId="hps">
    <w:name w:val="hps"/>
    <w:rsid w:val="00A15B26"/>
    <w:rPr>
      <w:rFonts w:cs="Times New Roman"/>
    </w:rPr>
  </w:style>
  <w:style w:type="paragraph" w:customStyle="1" w:styleId="NormalCenturyGothic">
    <w:name w:val="Normal + Century Gothic"/>
    <w:aliases w:val="8 pt"/>
    <w:basedOn w:val="Normlny"/>
    <w:rsid w:val="00C25326"/>
    <w:pPr>
      <w:spacing w:after="0" w:line="240" w:lineRule="auto"/>
    </w:pPr>
    <w:rPr>
      <w:rFonts w:ascii="Century Gothic" w:eastAsia="Times New Roman" w:hAnsi="Century Gothic" w:cs="Times New Roman"/>
      <w:snapToGrid w:val="0"/>
      <w:sz w:val="16"/>
      <w:szCs w:val="24"/>
      <w:lang w:val="fr-BE"/>
    </w:rPr>
  </w:style>
  <w:style w:type="paragraph" w:customStyle="1" w:styleId="normalcenturygothic0">
    <w:name w:val="normalcenturygothic"/>
    <w:basedOn w:val="Normlny"/>
    <w:rsid w:val="00C2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tn">
    <w:name w:val="atn"/>
    <w:basedOn w:val="Predvolenpsmoodseku"/>
    <w:rsid w:val="00A7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l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servis@brel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1349-E474-4350-8E82-F2B6646A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3652</Words>
  <Characters>22247</Characters>
  <Application>Microsoft Office Word</Application>
  <DocSecurity>0</DocSecurity>
  <Lines>741</Lines>
  <Paragraphs>424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25475</CharactersWithSpaces>
  <SharedDoc>false</SharedDoc>
  <HLinks>
    <vt:vector size="12" baseType="variant"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http://www.brel.sk/</vt:lpwstr>
      </vt:variant>
      <vt:variant>
        <vt:lpwstr/>
      </vt:variant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mailto:servis@brel.sk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Alena</cp:lastModifiedBy>
  <cp:revision>4</cp:revision>
  <cp:lastPrinted>2016-05-20T09:58:00Z</cp:lastPrinted>
  <dcterms:created xsi:type="dcterms:W3CDTF">2018-05-22T16:18:00Z</dcterms:created>
  <dcterms:modified xsi:type="dcterms:W3CDTF">2018-05-23T09:12:00Z</dcterms:modified>
</cp:coreProperties>
</file>